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7FD" w14:textId="77777777" w:rsidR="00D716DA" w:rsidRPr="005010C7" w:rsidRDefault="0087407E" w:rsidP="00D716DA">
      <w:pPr>
        <w:ind w:right="-1109"/>
        <w:rPr>
          <w:szCs w:val="22"/>
          <w:lang w:val="fr-CA"/>
        </w:rPr>
      </w:pPr>
      <w:bookmarkStart w:id="0" w:name="_Hlk87023090"/>
      <w:bookmarkStart w:id="1" w:name="_Hlk87034769"/>
      <w:r>
        <w:rPr>
          <w:szCs w:val="22"/>
        </w:rPr>
        <w:object w:dxaOrig="1440" w:dyaOrig="1440" w14:anchorId="024F4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654756" r:id="rId9"/>
        </w:object>
      </w:r>
      <w:r w:rsidR="00D716DA" w:rsidRPr="005010C7">
        <w:rPr>
          <w:szCs w:val="22"/>
          <w:lang w:val="fr-CA"/>
        </w:rPr>
        <w:t>CINQUANTE-ET-UNIÈME SESSION ORDINAIRE</w:t>
      </w:r>
      <w:r w:rsidR="00D716DA" w:rsidRPr="005010C7">
        <w:rPr>
          <w:szCs w:val="22"/>
          <w:lang w:val="fr-CA"/>
        </w:rPr>
        <w:tab/>
      </w:r>
      <w:r w:rsidR="00D716DA" w:rsidRPr="005010C7">
        <w:rPr>
          <w:szCs w:val="22"/>
          <w:lang w:val="fr-CA"/>
        </w:rPr>
        <w:tab/>
      </w:r>
      <w:r w:rsidR="00D716DA" w:rsidRPr="005010C7">
        <w:rPr>
          <w:szCs w:val="22"/>
          <w:lang w:val="fr-CA"/>
        </w:rPr>
        <w:tab/>
      </w:r>
      <w:r w:rsidR="00D716DA" w:rsidRPr="005010C7">
        <w:rPr>
          <w:szCs w:val="22"/>
          <w:lang w:val="fr-CA"/>
        </w:rPr>
        <w:tab/>
        <w:t>OEA/</w:t>
      </w:r>
      <w:proofErr w:type="spellStart"/>
      <w:r w:rsidR="00D716DA" w:rsidRPr="005010C7">
        <w:rPr>
          <w:szCs w:val="22"/>
          <w:lang w:val="fr-CA"/>
        </w:rPr>
        <w:t>Ser.P</w:t>
      </w:r>
      <w:proofErr w:type="spellEnd"/>
    </w:p>
    <w:p w14:paraId="1AD05891" w14:textId="77777777" w:rsidR="00D716DA" w:rsidRPr="005010C7" w:rsidRDefault="00D716DA" w:rsidP="00D716DA">
      <w:pPr>
        <w:ind w:right="-1469"/>
        <w:rPr>
          <w:szCs w:val="22"/>
          <w:lang w:val="fr-CA"/>
        </w:rPr>
      </w:pPr>
      <w:r w:rsidRPr="005010C7">
        <w:rPr>
          <w:szCs w:val="22"/>
          <w:lang w:val="fr-CA"/>
        </w:rPr>
        <w:t>Du 10 au 12 novembre 2021</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AG/doc.57</w:t>
      </w:r>
      <w:r>
        <w:rPr>
          <w:lang w:val="fr-CA"/>
        </w:rPr>
        <w:t>40</w:t>
      </w:r>
      <w:r w:rsidRPr="005010C7">
        <w:rPr>
          <w:szCs w:val="22"/>
          <w:lang w:val="fr-CA"/>
        </w:rPr>
        <w:t>/21</w:t>
      </w:r>
    </w:p>
    <w:p w14:paraId="45E27C7B" w14:textId="77777777" w:rsidR="00D716DA" w:rsidRPr="005010C7" w:rsidRDefault="00D716DA" w:rsidP="00D716DA">
      <w:pPr>
        <w:ind w:right="-1109"/>
        <w:rPr>
          <w:szCs w:val="22"/>
          <w:lang w:val="fr-CA"/>
        </w:rPr>
      </w:pPr>
      <w:r w:rsidRPr="005010C7">
        <w:rPr>
          <w:color w:val="0D0C12"/>
          <w:szCs w:val="22"/>
          <w:lang w:val="fr-CA"/>
        </w:rPr>
        <w:t>Guatemala</w:t>
      </w:r>
      <w:r w:rsidRPr="005010C7">
        <w:rPr>
          <w:szCs w:val="22"/>
          <w:lang w:val="fr-CA"/>
        </w:rPr>
        <w:t xml:space="preserve">, République du </w:t>
      </w:r>
      <w:r w:rsidRPr="005010C7">
        <w:rPr>
          <w:color w:val="0D0C12"/>
          <w:szCs w:val="22"/>
          <w:lang w:val="fr-CA"/>
        </w:rPr>
        <w:t>Guatemala</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5 novembre 2021</w:t>
      </w:r>
    </w:p>
    <w:p w14:paraId="1CCE514E" w14:textId="77777777" w:rsidR="00D716DA" w:rsidRPr="005010C7" w:rsidRDefault="00D716DA" w:rsidP="00D716DA">
      <w:pPr>
        <w:ind w:right="-1109"/>
        <w:rPr>
          <w:szCs w:val="22"/>
          <w:lang w:val="fr-CA"/>
        </w:rPr>
      </w:pPr>
      <w:r w:rsidRPr="005010C7">
        <w:rPr>
          <w:szCs w:val="22"/>
          <w:lang w:val="fr-CA"/>
        </w:rPr>
        <w:t>SESSION VIRTUELLE</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Original: espagnol</w:t>
      </w:r>
    </w:p>
    <w:bookmarkEnd w:id="0"/>
    <w:p w14:paraId="3211CFEA" w14:textId="77777777" w:rsidR="00D716DA" w:rsidRDefault="00D716DA" w:rsidP="00D716DA">
      <w:pPr>
        <w:ind w:right="-1109"/>
        <w:rPr>
          <w:u w:val="single"/>
          <w:lang w:val="fr-FR"/>
        </w:rPr>
      </w:pPr>
    </w:p>
    <w:p w14:paraId="70620EC9" w14:textId="77777777" w:rsidR="00D716DA" w:rsidRPr="005010C7" w:rsidRDefault="00D716DA" w:rsidP="00D716DA">
      <w:pPr>
        <w:ind w:left="5760" w:right="-1109" w:firstLine="720"/>
        <w:jc w:val="center"/>
        <w:rPr>
          <w:szCs w:val="22"/>
          <w:lang w:val="fr-CA"/>
        </w:rPr>
      </w:pPr>
      <w:r>
        <w:rPr>
          <w:u w:val="single"/>
          <w:lang w:val="fr-FR"/>
        </w:rPr>
        <w:t>Point 23 de l’ordre du jour</w:t>
      </w:r>
    </w:p>
    <w:bookmarkEnd w:id="1"/>
    <w:p w14:paraId="14773B2D" w14:textId="263E1F85" w:rsidR="006B11BE" w:rsidRDefault="006B11BE" w:rsidP="006B11BE">
      <w:pPr>
        <w:jc w:val="center"/>
        <w:rPr>
          <w:color w:val="000000" w:themeColor="text1"/>
          <w:szCs w:val="22"/>
          <w:lang w:val="fr-CA"/>
        </w:rPr>
      </w:pPr>
    </w:p>
    <w:p w14:paraId="384BE731" w14:textId="52F10D47" w:rsidR="00C1246E" w:rsidRDefault="00C1246E" w:rsidP="006B11BE">
      <w:pPr>
        <w:jc w:val="center"/>
        <w:rPr>
          <w:color w:val="000000" w:themeColor="text1"/>
          <w:szCs w:val="22"/>
          <w:lang w:val="fr-CA"/>
        </w:rPr>
      </w:pPr>
    </w:p>
    <w:p w14:paraId="04974BC4" w14:textId="77777777" w:rsidR="00C1246E" w:rsidRPr="00D716DA" w:rsidRDefault="00C1246E" w:rsidP="006B11BE">
      <w:pPr>
        <w:jc w:val="center"/>
        <w:rPr>
          <w:color w:val="000000" w:themeColor="text1"/>
          <w:szCs w:val="22"/>
          <w:lang w:val="fr-CA"/>
        </w:rPr>
      </w:pPr>
    </w:p>
    <w:p w14:paraId="3F6A8F10" w14:textId="3D25DC41" w:rsidR="00DD2855" w:rsidRPr="006B11BE" w:rsidRDefault="002F3799" w:rsidP="006B11BE">
      <w:pPr>
        <w:jc w:val="center"/>
        <w:rPr>
          <w:color w:val="000000" w:themeColor="text1"/>
          <w:szCs w:val="22"/>
          <w:lang w:val="fr-FR"/>
        </w:rPr>
      </w:pPr>
      <w:r w:rsidRPr="006B11BE">
        <w:rPr>
          <w:color w:val="000000" w:themeColor="text1"/>
          <w:szCs w:val="22"/>
          <w:lang w:val="fr-FR"/>
        </w:rPr>
        <w:t xml:space="preserve">PROJET DE RÉSOLUTION </w:t>
      </w:r>
    </w:p>
    <w:p w14:paraId="75FF1C2C" w14:textId="77777777" w:rsidR="00DD2855" w:rsidRPr="006B11BE" w:rsidRDefault="00DD2855" w:rsidP="006B11BE">
      <w:pPr>
        <w:jc w:val="both"/>
        <w:rPr>
          <w:color w:val="000000" w:themeColor="text1"/>
          <w:szCs w:val="22"/>
          <w:lang w:val="fr-FR"/>
        </w:rPr>
      </w:pPr>
    </w:p>
    <w:p w14:paraId="56E8A923" w14:textId="5BA5AF38" w:rsidR="00DD2855" w:rsidRPr="006B11BE" w:rsidRDefault="00DD2855" w:rsidP="006B11BE">
      <w:pPr>
        <w:jc w:val="center"/>
        <w:rPr>
          <w:color w:val="000000" w:themeColor="text1"/>
          <w:szCs w:val="22"/>
          <w:lang w:val="fr-FR"/>
        </w:rPr>
      </w:pPr>
      <w:r w:rsidRPr="006B11BE">
        <w:rPr>
          <w:color w:val="000000" w:themeColor="text1"/>
          <w:szCs w:val="22"/>
          <w:lang w:val="fr-FR"/>
        </w:rPr>
        <w:t xml:space="preserve">RENFORCEMENT DU RÔLE DE L’ORGANISATIONS DES ÉTATS AMÉRICAINS </w:t>
      </w:r>
      <w:r w:rsidRPr="006B11BE">
        <w:rPr>
          <w:color w:val="000000" w:themeColor="text1"/>
          <w:szCs w:val="22"/>
          <w:lang w:val="fr-FR"/>
        </w:rPr>
        <w:br/>
        <w:t xml:space="preserve">DANS LA PROMOTION DE LA RÉSILIENCE FACE AUX CATASTROPHES </w:t>
      </w:r>
      <w:r w:rsidRPr="006B11BE">
        <w:rPr>
          <w:color w:val="000000" w:themeColor="text1"/>
          <w:szCs w:val="22"/>
          <w:lang w:val="fr-FR"/>
        </w:rPr>
        <w:br/>
        <w:t>DANS LE CONTINENT AMÉRICAIN</w:t>
      </w:r>
    </w:p>
    <w:p w14:paraId="7E3FDC32" w14:textId="72EF56BB" w:rsidR="002F3799" w:rsidRPr="006B11BE" w:rsidRDefault="002F3799" w:rsidP="006B11BE">
      <w:pPr>
        <w:jc w:val="both"/>
        <w:rPr>
          <w:color w:val="000000" w:themeColor="text1"/>
          <w:szCs w:val="22"/>
          <w:lang w:val="fr-FR"/>
        </w:rPr>
      </w:pPr>
    </w:p>
    <w:p w14:paraId="36AD85F2" w14:textId="770F4DAE" w:rsidR="00DD2855" w:rsidRPr="006B11BE" w:rsidRDefault="002F3799" w:rsidP="006B11BE">
      <w:pPr>
        <w:jc w:val="center"/>
        <w:rPr>
          <w:color w:val="000000" w:themeColor="text1"/>
          <w:szCs w:val="22"/>
          <w:lang w:val="fr-FR"/>
        </w:rPr>
      </w:pPr>
      <w:r w:rsidRPr="006B11BE">
        <w:rPr>
          <w:color w:val="000000" w:themeColor="text1"/>
          <w:szCs w:val="22"/>
          <w:lang w:val="fr-FR"/>
        </w:rPr>
        <w:t>(</w:t>
      </w:r>
      <w:r w:rsidR="006B11BE" w:rsidRPr="006B11BE">
        <w:rPr>
          <w:szCs w:val="22"/>
          <w:lang w:val="fr-CA"/>
        </w:rPr>
        <w:t>Convenu par le Conseil permanent lors de sa séance virtuelle tenue le 3 novembre 202</w:t>
      </w:r>
      <w:r w:rsidR="00C1246E">
        <w:rPr>
          <w:szCs w:val="22"/>
          <w:lang w:val="fr-CA"/>
        </w:rPr>
        <w:t>1 ;</w:t>
      </w:r>
      <w:r w:rsidR="006B11BE" w:rsidRPr="006B11BE">
        <w:rPr>
          <w:szCs w:val="22"/>
          <w:lang w:val="fr-FR"/>
        </w:rPr>
        <w:t xml:space="preserve"> </w:t>
      </w:r>
      <w:r w:rsidR="00C1246E">
        <w:rPr>
          <w:szCs w:val="22"/>
          <w:lang w:val="fr-FR"/>
        </w:rPr>
        <w:br/>
      </w:r>
      <w:r w:rsidR="006B11BE" w:rsidRPr="006B11BE">
        <w:rPr>
          <w:szCs w:val="22"/>
          <w:lang w:val="fr-CA"/>
        </w:rPr>
        <w:t>et transmis à la séance plénière de l'Assemblée générale pour examen</w:t>
      </w:r>
      <w:r w:rsidRPr="006B11BE">
        <w:rPr>
          <w:color w:val="000000" w:themeColor="text1"/>
          <w:szCs w:val="22"/>
          <w:lang w:val="fr-FR"/>
        </w:rPr>
        <w:t>)</w:t>
      </w:r>
    </w:p>
    <w:p w14:paraId="39F873C6" w14:textId="7DB87AF3" w:rsidR="00DD2855" w:rsidRPr="006B11BE" w:rsidRDefault="00DD2855" w:rsidP="006B11BE">
      <w:pPr>
        <w:jc w:val="both"/>
        <w:rPr>
          <w:color w:val="000000" w:themeColor="text1"/>
          <w:szCs w:val="22"/>
          <w:lang w:val="fr-FR"/>
        </w:rPr>
      </w:pPr>
    </w:p>
    <w:p w14:paraId="2951A81A" w14:textId="77777777" w:rsidR="005059DB" w:rsidRPr="006B11BE" w:rsidRDefault="005059DB" w:rsidP="006B11BE">
      <w:pPr>
        <w:jc w:val="both"/>
        <w:rPr>
          <w:color w:val="000000" w:themeColor="text1"/>
          <w:szCs w:val="22"/>
          <w:lang w:val="fr-FR"/>
        </w:rPr>
      </w:pPr>
    </w:p>
    <w:p w14:paraId="0B7E4B20" w14:textId="77777777" w:rsidR="00DD2855" w:rsidRPr="006B11BE" w:rsidRDefault="00DD2855" w:rsidP="006B11BE">
      <w:pPr>
        <w:rPr>
          <w:color w:val="000000" w:themeColor="text1"/>
          <w:szCs w:val="22"/>
          <w:lang w:val="fr-FR"/>
        </w:rPr>
      </w:pPr>
      <w:r w:rsidRPr="006B11BE">
        <w:rPr>
          <w:color w:val="000000" w:themeColor="text1"/>
          <w:szCs w:val="22"/>
          <w:lang w:val="fr-FR"/>
        </w:rPr>
        <w:tab/>
        <w:t xml:space="preserve">L'ASSEMBLÉE GÉNÉRALE, </w:t>
      </w:r>
    </w:p>
    <w:p w14:paraId="0714B616" w14:textId="77777777" w:rsidR="00DD2855" w:rsidRPr="006B11BE" w:rsidRDefault="00DD2855" w:rsidP="006B11BE">
      <w:pPr>
        <w:rPr>
          <w:color w:val="000000" w:themeColor="text1"/>
          <w:szCs w:val="22"/>
          <w:lang w:val="fr-FR"/>
        </w:rPr>
      </w:pPr>
    </w:p>
    <w:p w14:paraId="409A2AF5" w14:textId="77777777" w:rsidR="00DD2855" w:rsidRPr="006B11BE" w:rsidRDefault="00DD2855" w:rsidP="006B11BE">
      <w:pPr>
        <w:jc w:val="both"/>
        <w:rPr>
          <w:color w:val="000000" w:themeColor="text1"/>
          <w:szCs w:val="22"/>
          <w:lang w:val="fr-FR"/>
        </w:rPr>
      </w:pPr>
      <w:r w:rsidRPr="006B11BE">
        <w:rPr>
          <w:color w:val="000000" w:themeColor="text1"/>
          <w:szCs w:val="22"/>
          <w:lang w:val="fr-FR"/>
        </w:rPr>
        <w:t>RECONNAISSANT :</w:t>
      </w:r>
    </w:p>
    <w:p w14:paraId="756EBEFC" w14:textId="77777777" w:rsidR="00DD2855" w:rsidRPr="006B11BE" w:rsidRDefault="00DD2855" w:rsidP="006B11BE">
      <w:pPr>
        <w:jc w:val="both"/>
        <w:rPr>
          <w:color w:val="000000" w:themeColor="text1"/>
          <w:szCs w:val="22"/>
          <w:lang w:val="fr-FR"/>
        </w:rPr>
      </w:pPr>
    </w:p>
    <w:p w14:paraId="34A1BC6A" w14:textId="0CE4337C" w:rsidR="00DD2855" w:rsidRPr="006B11BE" w:rsidRDefault="0030321E" w:rsidP="006B11BE">
      <w:pPr>
        <w:jc w:val="both"/>
        <w:rPr>
          <w:b/>
          <w:bCs/>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Que le continent américain est l’une des régions du monde les plus exposées aux catastrophes et que plus de 300 millions de ses citoyens vivent dans des zones particulièrement vulnérables aux catastrophes</w:t>
      </w:r>
      <w:r w:rsidR="00590803" w:rsidRPr="006B11BE">
        <w:rPr>
          <w:color w:val="000000" w:themeColor="text1"/>
          <w:szCs w:val="22"/>
          <w:lang w:val="fr-FR"/>
        </w:rPr>
        <w:t>,</w:t>
      </w:r>
    </w:p>
    <w:p w14:paraId="3BC5F384" w14:textId="77777777" w:rsidR="00DD2855" w:rsidRPr="006B11BE" w:rsidRDefault="00DD2855" w:rsidP="006B11BE">
      <w:pPr>
        <w:jc w:val="both"/>
        <w:rPr>
          <w:color w:val="000000" w:themeColor="text1"/>
          <w:szCs w:val="22"/>
          <w:lang w:val="fr-FR"/>
        </w:rPr>
      </w:pPr>
    </w:p>
    <w:p w14:paraId="341BF3F5" w14:textId="47061E7B"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Que les catastrophes constituent une menace importante pour le développement humain intégré, la santé et la sécurité publiques, ainsi que pour les infrastructures essentielles, et qu’elles affectent le bien-être des générations présentes et futures</w:t>
      </w:r>
      <w:r w:rsidR="00F25247" w:rsidRPr="006B11BE">
        <w:rPr>
          <w:color w:val="000000" w:themeColor="text1"/>
          <w:szCs w:val="22"/>
          <w:lang w:val="fr-FR"/>
        </w:rPr>
        <w:t xml:space="preserve"> </w:t>
      </w:r>
      <w:r w:rsidR="00E57FC4" w:rsidRPr="006B11BE">
        <w:rPr>
          <w:bCs/>
          <w:color w:val="000000" w:themeColor="text1"/>
          <w:szCs w:val="22"/>
          <w:lang w:val="fr-FR"/>
        </w:rPr>
        <w:t>et</w:t>
      </w:r>
      <w:r w:rsidR="00F25247" w:rsidRPr="006B11BE">
        <w:rPr>
          <w:bCs/>
          <w:color w:val="000000" w:themeColor="text1"/>
          <w:szCs w:val="22"/>
          <w:lang w:val="fr-FR"/>
        </w:rPr>
        <w:t>,</w:t>
      </w:r>
    </w:p>
    <w:p w14:paraId="2F6AD226" w14:textId="77777777" w:rsidR="00DD2855" w:rsidRPr="006B11BE" w:rsidRDefault="00DD2855" w:rsidP="006B11BE">
      <w:pPr>
        <w:jc w:val="both"/>
        <w:rPr>
          <w:color w:val="000000" w:themeColor="text1"/>
          <w:szCs w:val="22"/>
          <w:lang w:val="fr-FR"/>
        </w:rPr>
      </w:pPr>
    </w:p>
    <w:p w14:paraId="48446369" w14:textId="0568C7B5"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FE1FA6" w:rsidRPr="006B11BE">
        <w:rPr>
          <w:color w:val="000000" w:themeColor="text1"/>
          <w:szCs w:val="22"/>
          <w:lang w:val="fr-FR"/>
        </w:rPr>
        <w:t xml:space="preserve">La </w:t>
      </w:r>
      <w:r w:rsidR="00DD2855" w:rsidRPr="006B11BE">
        <w:rPr>
          <w:color w:val="000000" w:themeColor="text1"/>
          <w:szCs w:val="22"/>
          <w:lang w:val="fr-FR"/>
        </w:rPr>
        <w:t xml:space="preserve">nécessité d'une approche </w:t>
      </w:r>
      <w:r w:rsidR="001F770E" w:rsidRPr="006B11BE">
        <w:rPr>
          <w:color w:val="000000" w:themeColor="text1"/>
          <w:szCs w:val="22"/>
          <w:lang w:val="fr-FR"/>
        </w:rPr>
        <w:t>de la gestion des</w:t>
      </w:r>
      <w:r w:rsidR="00DD2855" w:rsidRPr="006B11BE">
        <w:rPr>
          <w:color w:val="000000" w:themeColor="text1"/>
          <w:szCs w:val="22"/>
          <w:lang w:val="fr-FR"/>
        </w:rPr>
        <w:t xml:space="preserve"> risques de catastrophes plus large et centrée davantage sur les personnes, et le fait que les pratiques de réduction des risques de catastrophes doivent être multirisques et multisectorielles, inclusives et accessibles afin d'être efficaces</w:t>
      </w:r>
      <w:r w:rsidR="001F770E" w:rsidRPr="006B11BE">
        <w:rPr>
          <w:color w:val="000000" w:themeColor="text1"/>
          <w:szCs w:val="22"/>
          <w:lang w:val="fr-FR"/>
        </w:rPr>
        <w:t xml:space="preserve">, </w:t>
      </w:r>
    </w:p>
    <w:p w14:paraId="02A67E01" w14:textId="77777777" w:rsidR="00DD2855" w:rsidRPr="006B11BE" w:rsidRDefault="00DD2855" w:rsidP="006B11BE">
      <w:pPr>
        <w:jc w:val="both"/>
        <w:rPr>
          <w:color w:val="000000" w:themeColor="text1"/>
          <w:szCs w:val="22"/>
          <w:lang w:val="fr-FR"/>
        </w:rPr>
      </w:pPr>
    </w:p>
    <w:p w14:paraId="483C8B15" w14:textId="7695908F"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NOTANT AVEC PRÉOCCUPATION que les femmes, les personnes handicapées, les personnes âgées, les enfants et les jeunes</w:t>
      </w:r>
      <w:r w:rsidR="005B5D2B" w:rsidRPr="006B11BE">
        <w:rPr>
          <w:color w:val="000000" w:themeColor="text1"/>
          <w:szCs w:val="22"/>
          <w:lang w:val="fr-FR"/>
        </w:rPr>
        <w:t>,</w:t>
      </w:r>
      <w:r w:rsidR="00DD2855" w:rsidRPr="006B11BE">
        <w:rPr>
          <w:color w:val="000000" w:themeColor="text1"/>
          <w:szCs w:val="22"/>
          <w:lang w:val="fr-FR"/>
        </w:rPr>
        <w:t xml:space="preserve"> ainsi que les groupes de personnes en situation de vulnérabilité sont souvent touchés de manière disproportionnée par les catastrophes, et soulignant la nécessité de veiller à ce que leurs situations/conditions de vulnérabilité particulières soient identifiées et prises en compte dans la préparation aux interventions et au relèvement,</w:t>
      </w:r>
    </w:p>
    <w:p w14:paraId="605102EE" w14:textId="77777777" w:rsidR="00DD2855" w:rsidRPr="006B11BE" w:rsidRDefault="00DD2855" w:rsidP="006B11BE">
      <w:pPr>
        <w:jc w:val="both"/>
        <w:rPr>
          <w:color w:val="000000" w:themeColor="text1"/>
          <w:szCs w:val="22"/>
          <w:lang w:val="fr-FR"/>
        </w:rPr>
      </w:pPr>
    </w:p>
    <w:p w14:paraId="424D99C1" w14:textId="72529821" w:rsidR="009E0BD4" w:rsidRPr="006B11BE" w:rsidRDefault="00DD2855" w:rsidP="006B11BE">
      <w:pPr>
        <w:jc w:val="both"/>
        <w:rPr>
          <w:color w:val="000000" w:themeColor="text1"/>
          <w:szCs w:val="22"/>
          <w:lang w:val="fr-FR"/>
        </w:rPr>
      </w:pPr>
      <w:r w:rsidRPr="006B11BE">
        <w:rPr>
          <w:color w:val="000000" w:themeColor="text1"/>
          <w:szCs w:val="22"/>
          <w:lang w:val="fr-FR"/>
        </w:rPr>
        <w:t xml:space="preserve">RECONNAISSANT EN OUTRE </w:t>
      </w:r>
    </w:p>
    <w:p w14:paraId="2AF44608" w14:textId="77777777" w:rsidR="009E0BD4" w:rsidRPr="006B11BE" w:rsidRDefault="009E0BD4" w:rsidP="006B11BE">
      <w:pPr>
        <w:jc w:val="both"/>
        <w:rPr>
          <w:color w:val="000000" w:themeColor="text1"/>
          <w:szCs w:val="22"/>
          <w:lang w:val="fr-FR"/>
        </w:rPr>
      </w:pPr>
    </w:p>
    <w:p w14:paraId="1EEA4199" w14:textId="256270CA" w:rsidR="00DD2855" w:rsidRPr="006B11BE" w:rsidRDefault="009E0BD4" w:rsidP="006B11BE">
      <w:pPr>
        <w:ind w:firstLine="720"/>
        <w:jc w:val="both"/>
        <w:rPr>
          <w:color w:val="000000" w:themeColor="text1"/>
          <w:szCs w:val="22"/>
          <w:lang w:val="fr-FR"/>
        </w:rPr>
      </w:pPr>
      <w:r w:rsidRPr="006B11BE">
        <w:rPr>
          <w:color w:val="000000" w:themeColor="text1"/>
          <w:szCs w:val="22"/>
          <w:lang w:val="fr-FR"/>
        </w:rPr>
        <w:t>L</w:t>
      </w:r>
      <w:r w:rsidR="00DD2855" w:rsidRPr="006B11BE">
        <w:rPr>
          <w:color w:val="000000" w:themeColor="text1"/>
          <w:szCs w:val="22"/>
          <w:lang w:val="fr-FR"/>
        </w:rPr>
        <w:t xml:space="preserve">a responsabilité qui incombe au premier chef à chaque État de prévenir et de réduire les risques de catastrophe et de s’investir dans la gestion de ces risques, y compris par l’application volontaire et le suivi du Cadre de Sendai, ainsi que par des mesures d’intervention rapide et de relèvement accéléré, afin de </w:t>
      </w:r>
      <w:r w:rsidR="00DD452B" w:rsidRPr="006B11BE">
        <w:rPr>
          <w:color w:val="000000" w:themeColor="text1"/>
          <w:szCs w:val="22"/>
          <w:lang w:val="fr-FR"/>
        </w:rPr>
        <w:t>réduire au minimum</w:t>
      </w:r>
      <w:r w:rsidR="00DD2855" w:rsidRPr="006B11BE">
        <w:rPr>
          <w:color w:val="000000" w:themeColor="text1"/>
          <w:szCs w:val="22"/>
          <w:lang w:val="fr-FR"/>
        </w:rPr>
        <w:t xml:space="preserve"> l’impact des catastrophes et de renforcer la résilience, </w:t>
      </w:r>
      <w:r w:rsidR="00DD2855" w:rsidRPr="006B11BE">
        <w:rPr>
          <w:color w:val="000000" w:themeColor="text1"/>
          <w:szCs w:val="22"/>
          <w:lang w:val="fr-FR"/>
        </w:rPr>
        <w:lastRenderedPageBreak/>
        <w:t>et reconnaissant l’importance de la coopération internationale pour soutenir les efforts des pays touchés qui peuvent avoir des capacités limitées en la matière</w:t>
      </w:r>
      <w:r w:rsidR="00AF2EC2" w:rsidRPr="006B11BE">
        <w:rPr>
          <w:color w:val="000000" w:themeColor="text1"/>
          <w:szCs w:val="22"/>
          <w:lang w:val="fr-FR"/>
        </w:rPr>
        <w:t>,</w:t>
      </w:r>
      <w:r w:rsidR="00F25247" w:rsidRPr="006B11BE">
        <w:rPr>
          <w:color w:val="000000" w:themeColor="text1"/>
          <w:szCs w:val="22"/>
          <w:lang w:val="fr-FR"/>
        </w:rPr>
        <w:t xml:space="preserve"> et</w:t>
      </w:r>
      <w:r w:rsidR="00DD2855" w:rsidRPr="006B11BE">
        <w:rPr>
          <w:color w:val="000000" w:themeColor="text1"/>
          <w:szCs w:val="22"/>
          <w:lang w:val="fr-FR"/>
        </w:rPr>
        <w:t>,</w:t>
      </w:r>
    </w:p>
    <w:p w14:paraId="0443AFEA" w14:textId="77777777" w:rsidR="00F25247" w:rsidRPr="006B11BE" w:rsidRDefault="00F25247" w:rsidP="006B11BE">
      <w:pPr>
        <w:jc w:val="both"/>
        <w:rPr>
          <w:color w:val="000000" w:themeColor="text1"/>
          <w:szCs w:val="22"/>
          <w:lang w:val="fr-FR"/>
        </w:rPr>
      </w:pPr>
    </w:p>
    <w:p w14:paraId="33C0645F" w14:textId="60C2ED82" w:rsidR="00F25247" w:rsidRPr="006B11BE" w:rsidRDefault="00F25247" w:rsidP="006B11BE">
      <w:pPr>
        <w:ind w:firstLine="720"/>
        <w:jc w:val="both"/>
        <w:rPr>
          <w:color w:val="000000" w:themeColor="text1"/>
          <w:szCs w:val="22"/>
          <w:lang w:val="fr-FR"/>
        </w:rPr>
      </w:pPr>
      <w:r w:rsidRPr="006B11BE">
        <w:rPr>
          <w:color w:val="000000" w:themeColor="text1"/>
          <w:szCs w:val="22"/>
          <w:lang w:val="fr-FR"/>
        </w:rPr>
        <w:t>La contribution des priorités convenues lors de la Plateforme mondiale 2017 pour la réduction des risques de catastrophe, la première après l’adoption du Cadre de Sendai, qui s’est tenue à Cancun (Mexique) du 22 au 26 mai 2017</w:t>
      </w:r>
      <w:r w:rsidR="00F01FEC" w:rsidRPr="006B11BE">
        <w:rPr>
          <w:color w:val="000000" w:themeColor="text1"/>
          <w:szCs w:val="22"/>
          <w:lang w:val="fr-FR"/>
        </w:rPr>
        <w:t>,</w:t>
      </w:r>
      <w:r w:rsidR="0038668A" w:rsidRPr="006B11BE">
        <w:rPr>
          <w:color w:val="000000" w:themeColor="text1"/>
          <w:szCs w:val="22"/>
          <w:lang w:val="fr-FR"/>
        </w:rPr>
        <w:t xml:space="preserve"> à l’action coordonnée de la communauté internationale pour réduire les risques de dommages causés par les catastrophes.</w:t>
      </w:r>
    </w:p>
    <w:p w14:paraId="1BE35BF5" w14:textId="77777777" w:rsidR="00DD2855" w:rsidRPr="006B11BE" w:rsidRDefault="00DD2855" w:rsidP="006B11BE">
      <w:pPr>
        <w:jc w:val="both"/>
        <w:rPr>
          <w:color w:val="000000" w:themeColor="text1"/>
          <w:szCs w:val="22"/>
          <w:lang w:val="fr-FR"/>
        </w:rPr>
      </w:pPr>
    </w:p>
    <w:p w14:paraId="7C4B8384" w14:textId="79F9EE9B"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 xml:space="preserve">RAPPELANT que le Cadre d’action de Sendai pour la réduction des risques de catastrophe 2015-2030, adopté par l'Assemblée générale des Nations Unies (A/RES 69/283) : </w:t>
      </w:r>
    </w:p>
    <w:p w14:paraId="78016406" w14:textId="77777777" w:rsidR="00DD2855" w:rsidRPr="006B11BE" w:rsidRDefault="00DD2855" w:rsidP="006B11BE">
      <w:pPr>
        <w:jc w:val="both"/>
        <w:rPr>
          <w:color w:val="000000" w:themeColor="text1"/>
          <w:szCs w:val="22"/>
          <w:lang w:val="fr-FR"/>
        </w:rPr>
      </w:pPr>
    </w:p>
    <w:p w14:paraId="68672ACB" w14:textId="052D15E2" w:rsidR="00DD2855" w:rsidRPr="006B11BE" w:rsidRDefault="00DD2855" w:rsidP="006B11BE">
      <w:pPr>
        <w:pStyle w:val="ListParagraph"/>
        <w:numPr>
          <w:ilvl w:val="0"/>
          <w:numId w:val="1"/>
        </w:numPr>
        <w:ind w:left="1440" w:hanging="720"/>
        <w:contextualSpacing w:val="0"/>
        <w:jc w:val="both"/>
        <w:rPr>
          <w:color w:val="000000" w:themeColor="text1"/>
          <w:szCs w:val="22"/>
          <w:lang w:val="fr-FR"/>
        </w:rPr>
      </w:pPr>
      <w:proofErr w:type="gramStart"/>
      <w:r w:rsidRPr="006B11BE">
        <w:rPr>
          <w:color w:val="000000" w:themeColor="text1"/>
          <w:szCs w:val="22"/>
          <w:lang w:val="fr-FR"/>
        </w:rPr>
        <w:t>reconnaît</w:t>
      </w:r>
      <w:proofErr w:type="gramEnd"/>
      <w:r w:rsidRPr="006B11BE">
        <w:rPr>
          <w:color w:val="000000" w:themeColor="text1"/>
          <w:szCs w:val="22"/>
          <w:lang w:val="fr-FR"/>
        </w:rPr>
        <w:t xml:space="preserve"> que les catastrophes ont « d’importantes répercussions dans les domaines économique, social, culturel et environnemental et sur le plan de la santé à court, moyen et long terme, en particul</w:t>
      </w:r>
      <w:r w:rsidR="0038668A" w:rsidRPr="006B11BE">
        <w:rPr>
          <w:color w:val="000000" w:themeColor="text1"/>
          <w:szCs w:val="22"/>
          <w:lang w:val="fr-FR"/>
        </w:rPr>
        <w:t>ier sur la population locale » ;</w:t>
      </w:r>
    </w:p>
    <w:p w14:paraId="58E1AE3F" w14:textId="2999D93F" w:rsidR="00DD2855" w:rsidRPr="006B11BE" w:rsidRDefault="00DD2855" w:rsidP="006B11BE">
      <w:pPr>
        <w:pStyle w:val="ListParagraph"/>
        <w:numPr>
          <w:ilvl w:val="0"/>
          <w:numId w:val="1"/>
        </w:numPr>
        <w:ind w:left="1440" w:hanging="720"/>
        <w:contextualSpacing w:val="0"/>
        <w:jc w:val="both"/>
        <w:rPr>
          <w:color w:val="000000" w:themeColor="text1"/>
          <w:szCs w:val="22"/>
          <w:lang w:val="fr-FR"/>
        </w:rPr>
      </w:pPr>
      <w:r w:rsidRPr="006B11BE">
        <w:rPr>
          <w:color w:val="000000" w:themeColor="text1"/>
          <w:szCs w:val="22"/>
          <w:lang w:val="fr-FR"/>
        </w:rPr>
        <w:t xml:space="preserve">S’applique à un large éventail de risques qui comprennent les « catastrophes à petite échelle ou à grande échelle, fréquentes ou rares, soudaines ou à évolution lente, causées par des aléas naturels ou par l’homme, ou liées aux aléas et risques environnementaux, </w:t>
      </w:r>
      <w:r w:rsidR="0038668A" w:rsidRPr="006B11BE">
        <w:rPr>
          <w:color w:val="000000" w:themeColor="text1"/>
          <w:szCs w:val="22"/>
          <w:lang w:val="fr-FR"/>
        </w:rPr>
        <w:t>technologiques et biologiques » ;</w:t>
      </w:r>
      <w:r w:rsidRPr="006B11BE">
        <w:rPr>
          <w:color w:val="000000" w:themeColor="text1"/>
          <w:szCs w:val="22"/>
          <w:lang w:val="fr-FR"/>
        </w:rPr>
        <w:t xml:space="preserve"> et </w:t>
      </w:r>
    </w:p>
    <w:p w14:paraId="64E6946E" w14:textId="7B19E499" w:rsidR="00DD2855" w:rsidRPr="006B11BE" w:rsidRDefault="00DD2855" w:rsidP="006B11BE">
      <w:pPr>
        <w:pStyle w:val="ListParagraph"/>
        <w:numPr>
          <w:ilvl w:val="0"/>
          <w:numId w:val="1"/>
        </w:numPr>
        <w:ind w:left="1440" w:hanging="720"/>
        <w:contextualSpacing w:val="0"/>
        <w:jc w:val="both"/>
        <w:rPr>
          <w:color w:val="000000" w:themeColor="text1"/>
          <w:szCs w:val="22"/>
          <w:lang w:val="fr-FR"/>
        </w:rPr>
      </w:pPr>
      <w:r w:rsidRPr="006B11BE">
        <w:rPr>
          <w:color w:val="000000" w:themeColor="text1"/>
          <w:szCs w:val="22"/>
          <w:lang w:val="fr-FR"/>
        </w:rPr>
        <w:t>reconnaît la nécessité d’une approche multidimensionnelle fondée sur les risques pour écarter les nouveaux risques de catastrophe et réduire les risques existants en prenant « des mesures intégrées et globales dans les domaines économique, structurel, juridique, social, culturel, environnemental, technologique, politique et institutionnel et dans les secteurs de la santé et de l’éducation qui permettent d’éviter l’exposition aux aléas ou de réduire la vulnérabilité aux catastrophes, améliorent la préparation à l’intervention et aux activités de relèvement, et renforcent ainsi la résilience ».</w:t>
      </w:r>
    </w:p>
    <w:p w14:paraId="7CD92F3A" w14:textId="77777777" w:rsidR="00DD2855" w:rsidRPr="006B11BE" w:rsidRDefault="00DD2855" w:rsidP="006B11BE">
      <w:pPr>
        <w:jc w:val="both"/>
        <w:rPr>
          <w:color w:val="000000" w:themeColor="text1"/>
          <w:szCs w:val="22"/>
          <w:lang w:val="fr-FR"/>
        </w:rPr>
      </w:pPr>
    </w:p>
    <w:p w14:paraId="71CB7E98" w14:textId="311E7E24"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RÉAFFIRMANT l’intérêt de mettre en œuvre le Cadre d’action de Sendai pour la réduction des risques de catastrophe 2015-2030 afin de garantir une réduction substantielle des risques de catastrophe et des pertes en termes de vies humaines, d’atteinte aux moyens de subsistance et à la santé, et d’atteinte aux biens économiques, physiques, sociaux, culturels et environnementaux des personnes, des entreprises, des collectivités et des pays, </w:t>
      </w:r>
      <w:r w:rsidR="003F059E" w:rsidRPr="006B11BE">
        <w:rPr>
          <w:color w:val="000000" w:themeColor="text1"/>
          <w:szCs w:val="22"/>
          <w:lang w:val="fr-FR"/>
        </w:rPr>
        <w:t>et reconnaissant que la mise en œuvre d’autres instruments</w:t>
      </w:r>
      <w:r w:rsidR="00F01FEC" w:rsidRPr="006B11BE">
        <w:rPr>
          <w:color w:val="000000" w:themeColor="text1"/>
          <w:szCs w:val="22"/>
          <w:lang w:val="fr-FR"/>
        </w:rPr>
        <w:t>,</w:t>
      </w:r>
      <w:r w:rsidR="003F059E" w:rsidRPr="006B11BE">
        <w:rPr>
          <w:color w:val="000000" w:themeColor="text1"/>
          <w:szCs w:val="22"/>
          <w:lang w:val="fr-FR"/>
        </w:rPr>
        <w:t xml:space="preserve"> tels que</w:t>
      </w:r>
      <w:r w:rsidR="00AD6EC5" w:rsidRPr="006B11BE">
        <w:rPr>
          <w:color w:val="000000" w:themeColor="text1"/>
          <w:szCs w:val="22"/>
          <w:lang w:val="fr-FR"/>
        </w:rPr>
        <w:t xml:space="preserve"> </w:t>
      </w:r>
      <w:r w:rsidR="00DD2855" w:rsidRPr="006B11BE">
        <w:rPr>
          <w:color w:val="000000" w:themeColor="text1"/>
          <w:szCs w:val="22"/>
          <w:lang w:val="fr-FR"/>
        </w:rPr>
        <w:t xml:space="preserve">l'Accord de Paris, le Programme d'action d'Addis-Abeba de la troisième Conférence internationale sur le financement du développement, </w:t>
      </w:r>
      <w:r w:rsidR="00AD6EC5" w:rsidRPr="006B11BE">
        <w:rPr>
          <w:color w:val="000000" w:themeColor="text1"/>
          <w:szCs w:val="22"/>
          <w:lang w:val="fr-FR"/>
        </w:rPr>
        <w:t xml:space="preserve">et le </w:t>
      </w:r>
      <w:r w:rsidR="00DD2855" w:rsidRPr="006B11BE">
        <w:rPr>
          <w:color w:val="000000" w:themeColor="text1"/>
          <w:szCs w:val="22"/>
          <w:lang w:val="fr-FR"/>
        </w:rPr>
        <w:t xml:space="preserve">Programme de développement durable à l'horizon 2030, </w:t>
      </w:r>
      <w:r w:rsidR="0038668A" w:rsidRPr="006B11BE">
        <w:rPr>
          <w:color w:val="000000" w:themeColor="text1"/>
          <w:szCs w:val="22"/>
          <w:lang w:val="fr-FR"/>
        </w:rPr>
        <w:t>contribue aussi</w:t>
      </w:r>
      <w:r w:rsidR="00AD6EC5" w:rsidRPr="006B11BE">
        <w:rPr>
          <w:color w:val="000000" w:themeColor="text1"/>
          <w:szCs w:val="22"/>
          <w:lang w:val="fr-FR"/>
        </w:rPr>
        <w:t xml:space="preserve"> à la réduction des risques de catastrophe</w:t>
      </w:r>
      <w:r w:rsidR="0038668A" w:rsidRPr="006B11BE">
        <w:rPr>
          <w:color w:val="000000" w:themeColor="text1"/>
          <w:szCs w:val="22"/>
          <w:lang w:val="fr-FR"/>
        </w:rPr>
        <w:t xml:space="preserve"> et à la promotion de la résilience face aux catastrophes</w:t>
      </w:r>
      <w:r w:rsidR="00921442" w:rsidRPr="006B11BE">
        <w:rPr>
          <w:color w:val="000000" w:themeColor="text1"/>
          <w:szCs w:val="22"/>
          <w:lang w:val="fr-FR"/>
        </w:rPr>
        <w:t>,</w:t>
      </w:r>
    </w:p>
    <w:p w14:paraId="06AFA950" w14:textId="77777777" w:rsidR="00DD2855" w:rsidRPr="006B11BE" w:rsidRDefault="00DD2855" w:rsidP="006B11BE">
      <w:pPr>
        <w:jc w:val="both"/>
        <w:rPr>
          <w:color w:val="000000" w:themeColor="text1"/>
          <w:szCs w:val="22"/>
          <w:lang w:val="fr-FR"/>
        </w:rPr>
      </w:pPr>
    </w:p>
    <w:p w14:paraId="1BFF281F" w14:textId="6213A88E"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RECONNAISSANT que</w:t>
      </w:r>
      <w:r w:rsidR="00136BB6" w:rsidRPr="006B11BE">
        <w:rPr>
          <w:color w:val="000000" w:themeColor="text1"/>
          <w:szCs w:val="22"/>
          <w:lang w:val="fr-FR"/>
        </w:rPr>
        <w:t>, conformément au Cadre de Sendai pour la réduct</w:t>
      </w:r>
      <w:r w:rsidR="00F01FEC" w:rsidRPr="006B11BE">
        <w:rPr>
          <w:color w:val="000000" w:themeColor="text1"/>
          <w:szCs w:val="22"/>
          <w:lang w:val="fr-FR"/>
        </w:rPr>
        <w:t xml:space="preserve">ion des risques de catastrophe </w:t>
      </w:r>
      <w:r w:rsidR="00136BB6" w:rsidRPr="006B11BE">
        <w:rPr>
          <w:color w:val="000000" w:themeColor="text1"/>
          <w:szCs w:val="22"/>
          <w:lang w:val="fr-FR"/>
        </w:rPr>
        <w:t>2015-2030,</w:t>
      </w:r>
      <w:r w:rsidR="00DD2855" w:rsidRPr="006B11BE">
        <w:rPr>
          <w:color w:val="000000" w:themeColor="text1"/>
          <w:szCs w:val="22"/>
          <w:lang w:val="fr-FR"/>
        </w:rPr>
        <w:t xml:space="preserve"> l'Organisation des États Américains </w:t>
      </w:r>
      <w:r w:rsidR="0098109C" w:rsidRPr="006B11BE">
        <w:rPr>
          <w:color w:val="000000" w:themeColor="text1"/>
          <w:szCs w:val="22"/>
          <w:lang w:val="fr-FR"/>
        </w:rPr>
        <w:t>a appliqué une approche de la gestion des risques de catastrophes</w:t>
      </w:r>
      <w:r w:rsidR="00DD2855" w:rsidRPr="006B11BE">
        <w:rPr>
          <w:color w:val="000000" w:themeColor="text1"/>
          <w:szCs w:val="22"/>
          <w:lang w:val="fr-FR"/>
        </w:rPr>
        <w:t xml:space="preserve"> qui inclut les catastrophes à évolution </w:t>
      </w:r>
      <w:r w:rsidR="0098109C" w:rsidRPr="006B11BE">
        <w:rPr>
          <w:color w:val="000000" w:themeColor="text1"/>
          <w:szCs w:val="22"/>
          <w:lang w:val="fr-FR"/>
        </w:rPr>
        <w:t>« </w:t>
      </w:r>
      <w:r w:rsidR="00DD2855" w:rsidRPr="006B11BE">
        <w:rPr>
          <w:color w:val="000000" w:themeColor="text1"/>
          <w:szCs w:val="22"/>
          <w:lang w:val="fr-FR"/>
        </w:rPr>
        <w:t>rapide</w:t>
      </w:r>
      <w:r w:rsidR="0098109C" w:rsidRPr="006B11BE">
        <w:rPr>
          <w:color w:val="000000" w:themeColor="text1"/>
          <w:szCs w:val="22"/>
          <w:lang w:val="fr-FR"/>
        </w:rPr>
        <w:t> »</w:t>
      </w:r>
      <w:r w:rsidR="00DD2855" w:rsidRPr="006B11BE">
        <w:rPr>
          <w:color w:val="000000" w:themeColor="text1"/>
          <w:szCs w:val="22"/>
          <w:lang w:val="fr-FR"/>
        </w:rPr>
        <w:t xml:space="preserve"> et </w:t>
      </w:r>
      <w:r w:rsidR="0098109C" w:rsidRPr="006B11BE">
        <w:rPr>
          <w:color w:val="000000" w:themeColor="text1"/>
          <w:szCs w:val="22"/>
          <w:lang w:val="fr-FR"/>
        </w:rPr>
        <w:t>« </w:t>
      </w:r>
      <w:r w:rsidR="00DD2855" w:rsidRPr="006B11BE">
        <w:rPr>
          <w:color w:val="000000" w:themeColor="text1"/>
          <w:szCs w:val="22"/>
          <w:lang w:val="fr-FR"/>
        </w:rPr>
        <w:t>lente</w:t>
      </w:r>
      <w:r w:rsidR="0098109C" w:rsidRPr="006B11BE">
        <w:rPr>
          <w:color w:val="000000" w:themeColor="text1"/>
          <w:szCs w:val="22"/>
          <w:lang w:val="fr-FR"/>
        </w:rPr>
        <w:t> »</w:t>
      </w:r>
      <w:r w:rsidR="00DD2855" w:rsidRPr="006B11BE">
        <w:rPr>
          <w:color w:val="000000" w:themeColor="text1"/>
          <w:szCs w:val="22"/>
          <w:lang w:val="fr-FR"/>
        </w:rPr>
        <w:t xml:space="preserve">, ainsi que ce que la Stratégie internationale de prévention des catastrophes des Nations Unies (SIPC) </w:t>
      </w:r>
      <w:r w:rsidR="003E4520" w:rsidRPr="006B11BE">
        <w:rPr>
          <w:color w:val="000000" w:themeColor="text1"/>
          <w:szCs w:val="22"/>
          <w:lang w:val="fr-FR"/>
        </w:rPr>
        <w:t>qualifie de</w:t>
      </w:r>
      <w:r w:rsidR="00DD2855" w:rsidRPr="006B11BE">
        <w:rPr>
          <w:color w:val="000000" w:themeColor="text1"/>
          <w:szCs w:val="22"/>
          <w:lang w:val="fr-FR"/>
        </w:rPr>
        <w:t xml:space="preserve"> catastrophes </w:t>
      </w:r>
      <w:r w:rsidR="0098109C" w:rsidRPr="006B11BE">
        <w:rPr>
          <w:color w:val="000000" w:themeColor="text1"/>
          <w:szCs w:val="22"/>
          <w:lang w:val="fr-FR"/>
        </w:rPr>
        <w:t>« </w:t>
      </w:r>
      <w:r w:rsidR="00DD2855" w:rsidRPr="006B11BE">
        <w:rPr>
          <w:color w:val="000000" w:themeColor="text1"/>
          <w:szCs w:val="22"/>
          <w:lang w:val="fr-FR"/>
        </w:rPr>
        <w:t>intensives</w:t>
      </w:r>
      <w:r w:rsidR="0098109C" w:rsidRPr="006B11BE">
        <w:rPr>
          <w:color w:val="000000" w:themeColor="text1"/>
          <w:szCs w:val="22"/>
          <w:lang w:val="fr-FR"/>
        </w:rPr>
        <w:t> »</w:t>
      </w:r>
      <w:r w:rsidR="00DD2855" w:rsidRPr="006B11BE">
        <w:rPr>
          <w:color w:val="000000" w:themeColor="text1"/>
          <w:szCs w:val="22"/>
          <w:lang w:val="fr-FR"/>
        </w:rPr>
        <w:t xml:space="preserve"> et </w:t>
      </w:r>
      <w:r w:rsidR="0098109C" w:rsidRPr="006B11BE">
        <w:rPr>
          <w:color w:val="000000" w:themeColor="text1"/>
          <w:szCs w:val="22"/>
          <w:lang w:val="fr-FR"/>
        </w:rPr>
        <w:t>« </w:t>
      </w:r>
      <w:r w:rsidR="00DD2855" w:rsidRPr="006B11BE">
        <w:rPr>
          <w:color w:val="000000" w:themeColor="text1"/>
          <w:szCs w:val="22"/>
          <w:lang w:val="fr-FR"/>
        </w:rPr>
        <w:t>extensives</w:t>
      </w:r>
      <w:r w:rsidR="0098109C" w:rsidRPr="006B11BE">
        <w:rPr>
          <w:color w:val="000000" w:themeColor="text1"/>
          <w:szCs w:val="22"/>
          <w:lang w:val="fr-FR"/>
        </w:rPr>
        <w:t> »</w:t>
      </w:r>
      <w:r w:rsidR="00DD2855" w:rsidRPr="006B11BE">
        <w:rPr>
          <w:color w:val="000000" w:themeColor="text1"/>
          <w:szCs w:val="22"/>
          <w:lang w:val="fr-FR"/>
        </w:rPr>
        <w:t xml:space="preserve">, adoptée dans le Programme interaméricain de développement durable 2016-2021 (PIDS) </w:t>
      </w:r>
      <w:r w:rsidR="0098109C" w:rsidRPr="006B11BE">
        <w:rPr>
          <w:color w:val="000000" w:themeColor="text1"/>
          <w:szCs w:val="22"/>
          <w:lang w:val="fr-FR"/>
        </w:rPr>
        <w:t>au moyen de</w:t>
      </w:r>
      <w:r w:rsidR="00DD2855" w:rsidRPr="006B11BE">
        <w:rPr>
          <w:color w:val="000000" w:themeColor="text1"/>
          <w:szCs w:val="22"/>
          <w:lang w:val="fr-FR"/>
        </w:rPr>
        <w:t xml:space="preserve"> la résolution AG/RES. 2882 (XLVI-O/16), dans le Plan interaméricain de prévention des catastrophes et d’intervention et de coordination de l’aide humanitaire par la résolution AG/RES. 2750 (XLII-O/12)], et plus récemment, dans</w:t>
      </w:r>
      <w:r w:rsidR="0080719E" w:rsidRPr="006B11BE">
        <w:rPr>
          <w:color w:val="000000" w:themeColor="text1"/>
          <w:szCs w:val="22"/>
          <w:lang w:val="fr-FR"/>
        </w:rPr>
        <w:t xml:space="preserve"> la résolution</w:t>
      </w:r>
      <w:r w:rsidR="00DD2855" w:rsidRPr="006B11BE">
        <w:rPr>
          <w:color w:val="000000" w:themeColor="text1"/>
          <w:szCs w:val="22"/>
          <w:lang w:val="fr-FR"/>
        </w:rPr>
        <w:t xml:space="preserve"> AG/RES. 2952 (L-O/20), en particulier dans le contexte des effets continus de la</w:t>
      </w:r>
      <w:r w:rsidR="0080719E" w:rsidRPr="006B11BE">
        <w:rPr>
          <w:color w:val="000000" w:themeColor="text1"/>
          <w:szCs w:val="22"/>
          <w:lang w:val="fr-FR"/>
        </w:rPr>
        <w:t xml:space="preserve"> </w:t>
      </w:r>
      <w:r w:rsidR="00DD2855" w:rsidRPr="006B11BE">
        <w:rPr>
          <w:color w:val="000000" w:themeColor="text1"/>
          <w:szCs w:val="22"/>
          <w:lang w:val="fr-FR"/>
        </w:rPr>
        <w:t>pandémie COVID-</w:t>
      </w:r>
      <w:r w:rsidR="0080719E" w:rsidRPr="006B11BE">
        <w:rPr>
          <w:color w:val="000000" w:themeColor="text1"/>
          <w:szCs w:val="22"/>
          <w:lang w:val="fr-FR"/>
        </w:rPr>
        <w:t> 1</w:t>
      </w:r>
      <w:r w:rsidR="00DD2855" w:rsidRPr="006B11BE">
        <w:rPr>
          <w:color w:val="000000" w:themeColor="text1"/>
          <w:szCs w:val="22"/>
          <w:lang w:val="fr-FR"/>
        </w:rPr>
        <w:t>9</w:t>
      </w:r>
      <w:r w:rsidR="00921442" w:rsidRPr="006B11BE">
        <w:rPr>
          <w:color w:val="000000" w:themeColor="text1"/>
          <w:szCs w:val="22"/>
          <w:lang w:val="fr-FR"/>
        </w:rPr>
        <w:t>,</w:t>
      </w:r>
    </w:p>
    <w:p w14:paraId="26B300BC" w14:textId="77777777" w:rsidR="00DD2855" w:rsidRPr="006B11BE" w:rsidRDefault="00DD2855" w:rsidP="006B11BE">
      <w:pPr>
        <w:jc w:val="both"/>
        <w:rPr>
          <w:color w:val="000000" w:themeColor="text1"/>
          <w:szCs w:val="22"/>
          <w:lang w:val="fr-FR"/>
        </w:rPr>
      </w:pPr>
    </w:p>
    <w:p w14:paraId="3C2FED1C" w14:textId="662852B9" w:rsidR="00DD2855" w:rsidRPr="006B11BE" w:rsidRDefault="0030321E" w:rsidP="006B11BE">
      <w:pPr>
        <w:jc w:val="both"/>
        <w:rPr>
          <w:color w:val="000000" w:themeColor="text1"/>
          <w:szCs w:val="22"/>
          <w:lang w:val="fr-FR"/>
        </w:rPr>
      </w:pPr>
      <w:r w:rsidRPr="006B11BE">
        <w:rPr>
          <w:b/>
          <w:bCs/>
          <w:color w:val="000000" w:themeColor="text1"/>
          <w:szCs w:val="22"/>
          <w:lang w:val="fr-FR"/>
        </w:rPr>
        <w:lastRenderedPageBreak/>
        <w:tab/>
      </w:r>
      <w:r w:rsidR="00DD2855" w:rsidRPr="006B11BE">
        <w:rPr>
          <w:color w:val="000000" w:themeColor="text1"/>
          <w:szCs w:val="22"/>
          <w:lang w:val="fr-FR"/>
        </w:rPr>
        <w:t xml:space="preserve">RECONNAISSANT ÉGALEMENT les recommandations prioritaires énoncées dans la stratégie-cadre visant à passer de la vulnérabilité à la résilience, y compris en ce qui concerne les catastrophes, la nécessité urgente de reconstruire de manière résiliente après les ouragans, </w:t>
      </w:r>
      <w:r w:rsidR="00156DA0" w:rsidRPr="006B11BE">
        <w:rPr>
          <w:color w:val="000000" w:themeColor="text1"/>
          <w:szCs w:val="22"/>
          <w:lang w:val="fr-FR"/>
        </w:rPr>
        <w:t>et également dans la mesure où elles</w:t>
      </w:r>
      <w:r w:rsidR="007836DD" w:rsidRPr="006B11BE">
        <w:rPr>
          <w:color w:val="000000" w:themeColor="text1"/>
          <w:szCs w:val="22"/>
          <w:lang w:val="fr-FR"/>
        </w:rPr>
        <w:t xml:space="preserve"> s’applique</w:t>
      </w:r>
      <w:r w:rsidR="00156DA0" w:rsidRPr="006B11BE">
        <w:rPr>
          <w:color w:val="000000" w:themeColor="text1"/>
          <w:szCs w:val="22"/>
          <w:lang w:val="fr-FR"/>
        </w:rPr>
        <w:t>nt</w:t>
      </w:r>
      <w:r w:rsidR="00DD2855" w:rsidRPr="006B11BE">
        <w:rPr>
          <w:color w:val="000000" w:themeColor="text1"/>
          <w:szCs w:val="22"/>
          <w:lang w:val="fr-FR"/>
        </w:rPr>
        <w:t xml:space="preserve"> </w:t>
      </w:r>
      <w:r w:rsidR="00156DA0" w:rsidRPr="006B11BE">
        <w:rPr>
          <w:color w:val="000000" w:themeColor="text1"/>
          <w:szCs w:val="22"/>
          <w:lang w:val="fr-FR"/>
        </w:rPr>
        <w:t xml:space="preserve">à </w:t>
      </w:r>
      <w:r w:rsidR="00DD2855" w:rsidRPr="006B11BE">
        <w:rPr>
          <w:color w:val="000000" w:themeColor="text1"/>
          <w:szCs w:val="22"/>
          <w:lang w:val="fr-FR"/>
        </w:rPr>
        <w:t>la sécheresse récurrente que connaît le continent américain</w:t>
      </w:r>
      <w:r w:rsidR="00921442" w:rsidRPr="006B11BE">
        <w:rPr>
          <w:color w:val="000000" w:themeColor="text1"/>
          <w:szCs w:val="22"/>
          <w:lang w:val="fr-FR"/>
        </w:rPr>
        <w:t>,</w:t>
      </w:r>
    </w:p>
    <w:p w14:paraId="15A82996" w14:textId="77777777" w:rsidR="00DD2855" w:rsidRPr="006B11BE" w:rsidRDefault="00DD2855" w:rsidP="006B11BE">
      <w:pPr>
        <w:jc w:val="both"/>
        <w:rPr>
          <w:color w:val="000000" w:themeColor="text1"/>
          <w:szCs w:val="22"/>
          <w:lang w:val="fr-FR"/>
        </w:rPr>
      </w:pPr>
    </w:p>
    <w:p w14:paraId="6F500DDF" w14:textId="2DA6AF5E"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ACCUEILLANT AVEC SATISFACTION les nouveaux partenaires stratégiques régionaux et internationaux de la Commission interaméricaine pour la réduction des catastrophes naturelles (CIRDN), et encourageant la coordination continue de tous les efforts visant à soutenir les États membres de l'OEA dans les situations d’urgence</w:t>
      </w:r>
      <w:r w:rsidR="00921442" w:rsidRPr="006B11BE">
        <w:rPr>
          <w:color w:val="000000" w:themeColor="text1"/>
          <w:szCs w:val="22"/>
          <w:lang w:val="fr-FR"/>
        </w:rPr>
        <w:t>,</w:t>
      </w:r>
    </w:p>
    <w:p w14:paraId="6D310E8F" w14:textId="77777777" w:rsidR="00DD2855" w:rsidRPr="006B11BE" w:rsidRDefault="00DD2855" w:rsidP="006B11BE">
      <w:pPr>
        <w:jc w:val="both"/>
        <w:rPr>
          <w:bCs/>
          <w:color w:val="000000" w:themeColor="text1"/>
          <w:szCs w:val="22"/>
          <w:lang w:val="fr-FR"/>
        </w:rPr>
      </w:pPr>
    </w:p>
    <w:p w14:paraId="0E08692E" w14:textId="5DAFCA5F"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RAPPELANT EN OUTRE les engagements pris dans les résolutions et déclarations antérieures du Conseil Permanent, et renouvelées tout récemment dans l</w:t>
      </w:r>
      <w:r w:rsidR="00D00C13" w:rsidRPr="006B11BE">
        <w:rPr>
          <w:color w:val="000000" w:themeColor="text1"/>
          <w:szCs w:val="22"/>
          <w:lang w:val="fr-FR"/>
        </w:rPr>
        <w:t xml:space="preserve">a </w:t>
      </w:r>
      <w:r w:rsidR="00DD2855" w:rsidRPr="006B11BE">
        <w:rPr>
          <w:color w:val="000000" w:themeColor="text1"/>
          <w:szCs w:val="22"/>
          <w:lang w:val="fr-FR"/>
        </w:rPr>
        <w:t xml:space="preserve">résolution CP/RES. 1169 (2318/21) et </w:t>
      </w:r>
      <w:r w:rsidR="00D00C13" w:rsidRPr="006B11BE">
        <w:rPr>
          <w:color w:val="000000" w:themeColor="text1"/>
          <w:szCs w:val="22"/>
          <w:lang w:val="fr-FR"/>
        </w:rPr>
        <w:t xml:space="preserve">la déclaration </w:t>
      </w:r>
      <w:r w:rsidR="00DD2855" w:rsidRPr="006B11BE">
        <w:rPr>
          <w:color w:val="000000" w:themeColor="text1"/>
          <w:szCs w:val="22"/>
          <w:lang w:val="fr-FR"/>
        </w:rPr>
        <w:t>CP/DEC. 73 (2307/20) face à la vulnérabilité exacerbée par la pandémie de COVID-19, de venir en aide aux États membres touchés par des catastrophes</w:t>
      </w:r>
      <w:r w:rsidR="00D00C13" w:rsidRPr="006B11BE">
        <w:rPr>
          <w:b/>
          <w:bCs/>
          <w:color w:val="000000" w:themeColor="text1"/>
          <w:szCs w:val="22"/>
          <w:lang w:val="fr-FR"/>
        </w:rPr>
        <w:t xml:space="preserve"> </w:t>
      </w:r>
      <w:r w:rsidR="00D00C13" w:rsidRPr="006B11BE">
        <w:rPr>
          <w:color w:val="000000" w:themeColor="text1"/>
          <w:szCs w:val="22"/>
          <w:lang w:val="fr-FR"/>
        </w:rPr>
        <w:t xml:space="preserve">au moyen d’un financement mobilisé en plus large mesure à partir de ressources issues </w:t>
      </w:r>
      <w:r w:rsidR="00136BB6" w:rsidRPr="006B11BE">
        <w:rPr>
          <w:color w:val="000000" w:themeColor="text1"/>
          <w:szCs w:val="22"/>
          <w:lang w:val="fr-FR"/>
        </w:rPr>
        <w:t xml:space="preserve">de partenariats publics-privés </w:t>
      </w:r>
      <w:r w:rsidR="00D00C13" w:rsidRPr="006B11BE">
        <w:rPr>
          <w:color w:val="000000" w:themeColor="text1"/>
          <w:szCs w:val="22"/>
          <w:lang w:val="fr-FR"/>
        </w:rPr>
        <w:t>pour</w:t>
      </w:r>
      <w:r w:rsidR="00DD2855" w:rsidRPr="006B11BE">
        <w:rPr>
          <w:color w:val="000000" w:themeColor="text1"/>
          <w:szCs w:val="22"/>
          <w:lang w:val="fr-FR"/>
        </w:rPr>
        <w:t xml:space="preserve"> répondre d’urgence aux besoins en matière de relèvement et de reconstruction multisectoriels et parvenir à la résilience,</w:t>
      </w:r>
    </w:p>
    <w:p w14:paraId="73B7CC78" w14:textId="77777777" w:rsidR="00DD2855" w:rsidRPr="006B11BE" w:rsidRDefault="00DD2855" w:rsidP="006B11BE">
      <w:pPr>
        <w:jc w:val="both"/>
        <w:rPr>
          <w:color w:val="000000" w:themeColor="text1"/>
          <w:szCs w:val="22"/>
          <w:lang w:val="fr-FR"/>
        </w:rPr>
      </w:pPr>
    </w:p>
    <w:p w14:paraId="6D2C11B9" w14:textId="473736D9" w:rsidR="00DD2855" w:rsidRPr="006B11BE" w:rsidRDefault="00DD2855" w:rsidP="006B11BE">
      <w:pPr>
        <w:ind w:firstLine="720"/>
        <w:jc w:val="both"/>
        <w:rPr>
          <w:color w:val="000000" w:themeColor="text1"/>
          <w:szCs w:val="22"/>
          <w:lang w:val="fr-FR"/>
        </w:rPr>
      </w:pPr>
      <w:r w:rsidRPr="006B11BE">
        <w:rPr>
          <w:color w:val="000000" w:themeColor="text1"/>
          <w:szCs w:val="22"/>
          <w:lang w:val="fr-FR"/>
        </w:rPr>
        <w:t xml:space="preserve">TENANT COMPTE du fait que l’objectif ultime de toutes les activités de gestion des catastrophes est de renforcer la résilience </w:t>
      </w:r>
      <w:r w:rsidR="00500430" w:rsidRPr="006B11BE">
        <w:rPr>
          <w:color w:val="000000" w:themeColor="text1"/>
          <w:szCs w:val="22"/>
          <w:lang w:val="fr-FR"/>
        </w:rPr>
        <w:t>qui</w:t>
      </w:r>
      <w:r w:rsidRPr="006B11BE">
        <w:rPr>
          <w:color w:val="000000" w:themeColor="text1"/>
          <w:szCs w:val="22"/>
          <w:lang w:val="fr-FR"/>
        </w:rPr>
        <w:t xml:space="preserve"> rend les villes et les </w:t>
      </w:r>
      <w:r w:rsidR="00500430" w:rsidRPr="006B11BE">
        <w:rPr>
          <w:color w:val="000000" w:themeColor="text1"/>
          <w:szCs w:val="22"/>
          <w:lang w:val="fr-FR"/>
        </w:rPr>
        <w:t>communautés</w:t>
      </w:r>
      <w:r w:rsidRPr="006B11BE">
        <w:rPr>
          <w:color w:val="000000" w:themeColor="text1"/>
          <w:szCs w:val="22"/>
          <w:lang w:val="fr-FR"/>
        </w:rPr>
        <w:t xml:space="preserve"> inclusi</w:t>
      </w:r>
      <w:r w:rsidR="00500430" w:rsidRPr="006B11BE">
        <w:rPr>
          <w:color w:val="000000" w:themeColor="text1"/>
          <w:szCs w:val="22"/>
          <w:lang w:val="fr-FR"/>
        </w:rPr>
        <w:t>ve</w:t>
      </w:r>
      <w:r w:rsidRPr="006B11BE">
        <w:rPr>
          <w:color w:val="000000" w:themeColor="text1"/>
          <w:szCs w:val="22"/>
          <w:lang w:val="fr-FR"/>
        </w:rPr>
        <w:t>s, sûr</w:t>
      </w:r>
      <w:r w:rsidR="00500430" w:rsidRPr="006B11BE">
        <w:rPr>
          <w:color w:val="000000" w:themeColor="text1"/>
          <w:szCs w:val="22"/>
          <w:lang w:val="fr-FR"/>
        </w:rPr>
        <w:t>e</w:t>
      </w:r>
      <w:r w:rsidRPr="006B11BE">
        <w:rPr>
          <w:color w:val="000000" w:themeColor="text1"/>
          <w:szCs w:val="22"/>
          <w:lang w:val="fr-FR"/>
        </w:rPr>
        <w:t>s, résilient</w:t>
      </w:r>
      <w:r w:rsidR="00500430" w:rsidRPr="006B11BE">
        <w:rPr>
          <w:color w:val="000000" w:themeColor="text1"/>
          <w:szCs w:val="22"/>
          <w:lang w:val="fr-FR"/>
        </w:rPr>
        <w:t>e</w:t>
      </w:r>
      <w:r w:rsidRPr="006B11BE">
        <w:rPr>
          <w:color w:val="000000" w:themeColor="text1"/>
          <w:szCs w:val="22"/>
          <w:lang w:val="fr-FR"/>
        </w:rPr>
        <w:t xml:space="preserve"> et durables face aux catastrophes afin de réduire les vulnérabilités des États membres</w:t>
      </w:r>
      <w:r w:rsidR="00500430" w:rsidRPr="006B11BE">
        <w:rPr>
          <w:color w:val="000000" w:themeColor="text1"/>
          <w:szCs w:val="22"/>
          <w:lang w:val="fr-FR"/>
        </w:rPr>
        <w:t xml:space="preserve"> aux catastrophes</w:t>
      </w:r>
      <w:r w:rsidRPr="006B11BE">
        <w:rPr>
          <w:color w:val="000000" w:themeColor="text1"/>
          <w:szCs w:val="22"/>
          <w:lang w:val="fr-FR"/>
        </w:rPr>
        <w:t xml:space="preserve"> et d’accélérer le relèvement </w:t>
      </w:r>
      <w:r w:rsidR="00921442" w:rsidRPr="006B11BE">
        <w:rPr>
          <w:color w:val="000000" w:themeColor="text1"/>
          <w:szCs w:val="22"/>
          <w:lang w:val="fr-FR"/>
        </w:rPr>
        <w:t>pour les victimes de catastrophe,</w:t>
      </w:r>
    </w:p>
    <w:p w14:paraId="4EB0E968" w14:textId="77777777" w:rsidR="00DD2855" w:rsidRPr="006B11BE" w:rsidRDefault="00DD2855" w:rsidP="006B11BE">
      <w:pPr>
        <w:jc w:val="both"/>
        <w:rPr>
          <w:color w:val="000000" w:themeColor="text1"/>
          <w:szCs w:val="22"/>
          <w:lang w:val="fr-FR"/>
        </w:rPr>
      </w:pPr>
    </w:p>
    <w:p w14:paraId="73F716B7" w14:textId="70CAAF84"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 xml:space="preserve">AYANT À L’ESPRIT le rôle important que doit jouer l’OEA pour compléter, faciliter et intégrer </w:t>
      </w:r>
      <w:r w:rsidR="00B67FCA" w:rsidRPr="006B11BE">
        <w:rPr>
          <w:color w:val="000000" w:themeColor="text1"/>
          <w:szCs w:val="22"/>
          <w:lang w:val="fr-FR"/>
        </w:rPr>
        <w:t>les</w:t>
      </w:r>
      <w:r w:rsidR="00DD2855" w:rsidRPr="006B11BE">
        <w:rPr>
          <w:color w:val="000000" w:themeColor="text1"/>
          <w:szCs w:val="22"/>
          <w:lang w:val="fr-FR"/>
        </w:rPr>
        <w:t xml:space="preserve"> synergies </w:t>
      </w:r>
      <w:r w:rsidR="00B67FCA" w:rsidRPr="006B11BE">
        <w:rPr>
          <w:color w:val="000000" w:themeColor="text1"/>
          <w:szCs w:val="22"/>
          <w:lang w:val="fr-FR"/>
        </w:rPr>
        <w:t>et les</w:t>
      </w:r>
      <w:r w:rsidR="00DD2855" w:rsidRPr="006B11BE">
        <w:rPr>
          <w:color w:val="000000" w:themeColor="text1"/>
          <w:szCs w:val="22"/>
          <w:lang w:val="fr-FR"/>
        </w:rPr>
        <w:t xml:space="preserve"> efforts déployés </w:t>
      </w:r>
      <w:r w:rsidR="007836DD" w:rsidRPr="006B11BE">
        <w:rPr>
          <w:color w:val="000000" w:themeColor="text1"/>
          <w:szCs w:val="22"/>
          <w:lang w:val="fr-FR"/>
        </w:rPr>
        <w:t>de concert avec</w:t>
      </w:r>
      <w:r w:rsidR="00DD2855" w:rsidRPr="006B11BE">
        <w:rPr>
          <w:color w:val="000000" w:themeColor="text1"/>
          <w:szCs w:val="22"/>
          <w:lang w:val="fr-FR"/>
        </w:rPr>
        <w:t xml:space="preserve"> les partenaires mondiaux et régionaux en matière de gestion des catastrophes, par le biais de ses instruments, institutions et initiatives régionales destinés à aider les États membres à se préparer aux catastrophes, à y réagir, à s’en relever</w:t>
      </w:r>
      <w:r w:rsidR="00B67FCA" w:rsidRPr="006B11BE">
        <w:rPr>
          <w:color w:val="000000" w:themeColor="text1"/>
          <w:szCs w:val="22"/>
          <w:lang w:val="fr-FR"/>
        </w:rPr>
        <w:t>,</w:t>
      </w:r>
      <w:r w:rsidR="00DD2855" w:rsidRPr="006B11BE">
        <w:rPr>
          <w:color w:val="000000" w:themeColor="text1"/>
          <w:szCs w:val="22"/>
          <w:lang w:val="fr-FR"/>
        </w:rPr>
        <w:t xml:space="preserve"> et à réduire la vulnérabilité à ces catastrophes</w:t>
      </w:r>
      <w:r w:rsidR="00FA30A9" w:rsidRPr="006B11BE">
        <w:rPr>
          <w:color w:val="000000" w:themeColor="text1"/>
          <w:szCs w:val="22"/>
          <w:lang w:val="fr-FR"/>
        </w:rPr>
        <w:t>,</w:t>
      </w:r>
      <w:r w:rsidR="00921442" w:rsidRPr="006B11BE">
        <w:rPr>
          <w:color w:val="000000" w:themeColor="text1"/>
          <w:szCs w:val="22"/>
          <w:lang w:val="fr-FR"/>
        </w:rPr>
        <w:t xml:space="preserve"> et,</w:t>
      </w:r>
    </w:p>
    <w:p w14:paraId="692F65CF" w14:textId="77777777" w:rsidR="00DD2855" w:rsidRPr="006B11BE" w:rsidRDefault="00DD2855" w:rsidP="006B11BE">
      <w:pPr>
        <w:jc w:val="both"/>
        <w:rPr>
          <w:color w:val="000000" w:themeColor="text1"/>
          <w:szCs w:val="22"/>
          <w:lang w:val="fr-FR"/>
        </w:rPr>
      </w:pPr>
    </w:p>
    <w:p w14:paraId="5A61B5CD" w14:textId="70958161" w:rsidR="00DD2855" w:rsidRPr="006B11BE" w:rsidRDefault="0030321E" w:rsidP="006B11BE">
      <w:pPr>
        <w:jc w:val="both"/>
        <w:rPr>
          <w:color w:val="000000" w:themeColor="text1"/>
          <w:szCs w:val="22"/>
          <w:lang w:val="fr-FR"/>
        </w:rPr>
      </w:pPr>
      <w:r w:rsidRPr="006B11BE">
        <w:rPr>
          <w:b/>
          <w:bCs/>
          <w:color w:val="000000" w:themeColor="text1"/>
          <w:szCs w:val="22"/>
          <w:lang w:val="fr-FR"/>
        </w:rPr>
        <w:tab/>
      </w:r>
      <w:r w:rsidR="00DD2855" w:rsidRPr="006B11BE">
        <w:rPr>
          <w:color w:val="000000" w:themeColor="text1"/>
          <w:szCs w:val="22"/>
          <w:lang w:val="fr-FR"/>
        </w:rPr>
        <w:t>PRÉOCCUPÉ</w:t>
      </w:r>
      <w:r w:rsidR="009B7288" w:rsidRPr="006B11BE">
        <w:rPr>
          <w:color w:val="000000" w:themeColor="text1"/>
          <w:szCs w:val="22"/>
          <w:lang w:val="fr-FR"/>
        </w:rPr>
        <w:t>E</w:t>
      </w:r>
      <w:r w:rsidR="00DD2855" w:rsidRPr="006B11BE">
        <w:rPr>
          <w:color w:val="000000" w:themeColor="text1"/>
          <w:szCs w:val="22"/>
          <w:lang w:val="fr-FR"/>
        </w:rPr>
        <w:t xml:space="preserve"> par le fait que les incidences multisectorielles de la pandémie de COVID-19 ont affaibli les États membres de l’OEA dans les efforts qu’ils déploient pour atteindre les objectifs de développement durable et renforcer leurs capacités à faire progresser la sécurité multidimensionnelle dans le continent américain</w:t>
      </w:r>
      <w:r w:rsidR="00921442" w:rsidRPr="006B11BE">
        <w:rPr>
          <w:color w:val="000000" w:themeColor="text1"/>
          <w:szCs w:val="22"/>
          <w:lang w:val="fr-FR"/>
        </w:rPr>
        <w:t>,</w:t>
      </w:r>
    </w:p>
    <w:p w14:paraId="7188601F" w14:textId="77777777" w:rsidR="00DD2855" w:rsidRPr="006B11BE" w:rsidRDefault="00DD2855" w:rsidP="006B11BE">
      <w:pPr>
        <w:jc w:val="both"/>
        <w:rPr>
          <w:color w:val="000000" w:themeColor="text1"/>
          <w:szCs w:val="22"/>
          <w:lang w:val="fr-FR"/>
        </w:rPr>
      </w:pPr>
    </w:p>
    <w:p w14:paraId="17DC7F9F" w14:textId="77777777" w:rsidR="00DD2855" w:rsidRPr="006B11BE" w:rsidRDefault="00DD2855" w:rsidP="006B11BE">
      <w:pPr>
        <w:keepNext/>
        <w:jc w:val="both"/>
        <w:rPr>
          <w:color w:val="000000" w:themeColor="text1"/>
          <w:szCs w:val="22"/>
          <w:lang w:val="fr-FR"/>
        </w:rPr>
      </w:pPr>
      <w:r w:rsidRPr="006B11BE">
        <w:rPr>
          <w:color w:val="000000" w:themeColor="text1"/>
          <w:szCs w:val="22"/>
          <w:lang w:val="fr-FR"/>
        </w:rPr>
        <w:t xml:space="preserve">DÉCIDE : </w:t>
      </w:r>
    </w:p>
    <w:p w14:paraId="0118C212" w14:textId="77777777" w:rsidR="00DD2855" w:rsidRPr="006B11BE" w:rsidRDefault="00DD2855" w:rsidP="006B11BE">
      <w:pPr>
        <w:keepNext/>
        <w:jc w:val="both"/>
        <w:rPr>
          <w:color w:val="000000" w:themeColor="text1"/>
          <w:szCs w:val="22"/>
          <w:lang w:val="fr-FR"/>
        </w:rPr>
      </w:pPr>
    </w:p>
    <w:p w14:paraId="2DD9CEB5" w14:textId="0A75FF5A" w:rsidR="00DD2855" w:rsidRPr="006B11BE" w:rsidRDefault="00921442" w:rsidP="006B11BE">
      <w:pPr>
        <w:ind w:firstLine="720"/>
        <w:jc w:val="both"/>
        <w:rPr>
          <w:color w:val="000000" w:themeColor="text1"/>
          <w:szCs w:val="22"/>
          <w:lang w:val="fr-FR"/>
        </w:rPr>
      </w:pPr>
      <w:r w:rsidRPr="006B11BE">
        <w:rPr>
          <w:bCs/>
          <w:color w:val="000000" w:themeColor="text1"/>
          <w:szCs w:val="22"/>
          <w:lang w:val="fr-FR"/>
        </w:rPr>
        <w:t xml:space="preserve">1. </w:t>
      </w:r>
      <w:r w:rsidR="00587995" w:rsidRPr="006B11BE">
        <w:rPr>
          <w:bCs/>
          <w:color w:val="000000" w:themeColor="text1"/>
          <w:szCs w:val="22"/>
          <w:lang w:val="fr-FR"/>
        </w:rPr>
        <w:tab/>
      </w:r>
      <w:r w:rsidR="00DD2855" w:rsidRPr="006B11BE">
        <w:rPr>
          <w:color w:val="000000" w:themeColor="text1"/>
          <w:szCs w:val="22"/>
          <w:lang w:val="fr-FR"/>
        </w:rPr>
        <w:t xml:space="preserve">De réaffirmer son attachement à la mise en œuvre intégrale de toutes les recommandations </w:t>
      </w:r>
      <w:r w:rsidR="00DC1CD2" w:rsidRPr="006B11BE">
        <w:rPr>
          <w:color w:val="000000" w:themeColor="text1"/>
          <w:szCs w:val="22"/>
          <w:lang w:val="fr-FR"/>
        </w:rPr>
        <w:t>énoncées dans le</w:t>
      </w:r>
      <w:r w:rsidR="00DD2855" w:rsidRPr="006B11BE">
        <w:rPr>
          <w:color w:val="000000" w:themeColor="text1"/>
          <w:szCs w:val="22"/>
          <w:lang w:val="fr-FR"/>
        </w:rPr>
        <w:t xml:space="preserve"> document CIDI/CPD/doc.200/20 rev. 3 relatif aux outils existants et aux entités établies au sein du système interaméricain pour répondre aux besoins </w:t>
      </w:r>
      <w:r w:rsidR="00DC1CD2" w:rsidRPr="006B11BE">
        <w:rPr>
          <w:color w:val="000000" w:themeColor="text1"/>
          <w:szCs w:val="22"/>
          <w:lang w:val="fr-FR"/>
        </w:rPr>
        <w:t>en matière de gestion</w:t>
      </w:r>
      <w:r w:rsidR="00DD2855" w:rsidRPr="006B11BE">
        <w:rPr>
          <w:color w:val="000000" w:themeColor="text1"/>
          <w:szCs w:val="22"/>
          <w:lang w:val="fr-FR"/>
        </w:rPr>
        <w:t xml:space="preserve"> de</w:t>
      </w:r>
      <w:r w:rsidR="00D00C13" w:rsidRPr="006B11BE">
        <w:rPr>
          <w:color w:val="000000" w:themeColor="text1"/>
          <w:szCs w:val="22"/>
          <w:lang w:val="fr-FR"/>
        </w:rPr>
        <w:t>s</w:t>
      </w:r>
      <w:r w:rsidR="00DD2855" w:rsidRPr="006B11BE">
        <w:rPr>
          <w:color w:val="000000" w:themeColor="text1"/>
          <w:szCs w:val="22"/>
          <w:lang w:val="fr-FR"/>
        </w:rPr>
        <w:t xml:space="preserve"> catastrophe</w:t>
      </w:r>
      <w:r w:rsidR="00D00C13" w:rsidRPr="006B11BE">
        <w:rPr>
          <w:color w:val="000000" w:themeColor="text1"/>
          <w:szCs w:val="22"/>
          <w:lang w:val="fr-FR"/>
        </w:rPr>
        <w:t>s</w:t>
      </w:r>
      <w:r w:rsidR="00DD2855" w:rsidRPr="006B11BE">
        <w:rPr>
          <w:color w:val="000000" w:themeColor="text1"/>
          <w:szCs w:val="22"/>
          <w:lang w:val="fr-FR"/>
        </w:rPr>
        <w:t xml:space="preserve">, en particulier </w:t>
      </w:r>
      <w:r w:rsidR="00D00C13" w:rsidRPr="006B11BE">
        <w:rPr>
          <w:color w:val="000000" w:themeColor="text1"/>
          <w:szCs w:val="22"/>
          <w:lang w:val="fr-FR"/>
        </w:rPr>
        <w:t xml:space="preserve">l’exploitation, aussitôt que possible, d’une </w:t>
      </w:r>
      <w:r w:rsidR="00DD2855" w:rsidRPr="006B11BE">
        <w:rPr>
          <w:color w:val="000000" w:themeColor="text1"/>
          <w:szCs w:val="22"/>
          <w:lang w:val="fr-FR"/>
        </w:rPr>
        <w:t>base de données du continent américain au profit de tous les États membres de l’OEA et des partenaires stratégiques internationaux et sous-régionaux en matière de gestion des catastrophes, et de charger le Conseil interaméricain pour le développement intégré (CIDI) de superviser, en coordination avec la Commission sur la sécurité continentale (CSH)</w:t>
      </w:r>
      <w:r w:rsidR="00C613D5" w:rsidRPr="006B11BE">
        <w:rPr>
          <w:color w:val="000000" w:themeColor="text1"/>
          <w:szCs w:val="22"/>
          <w:lang w:val="fr-FR"/>
        </w:rPr>
        <w:t xml:space="preserve"> du Conseil permanent</w:t>
      </w:r>
      <w:r w:rsidR="00DD2855" w:rsidRPr="006B11BE">
        <w:rPr>
          <w:color w:val="000000" w:themeColor="text1"/>
          <w:szCs w:val="22"/>
          <w:lang w:val="fr-FR"/>
        </w:rPr>
        <w:t>, l’exécution des mandats confiés au Secrétariat général.</w:t>
      </w:r>
    </w:p>
    <w:p w14:paraId="17DBC901" w14:textId="77777777" w:rsidR="00DD2855" w:rsidRPr="006B11BE" w:rsidRDefault="00DD2855" w:rsidP="006B11BE">
      <w:pPr>
        <w:jc w:val="both"/>
        <w:rPr>
          <w:color w:val="000000" w:themeColor="text1"/>
          <w:szCs w:val="22"/>
          <w:lang w:val="fr-FR"/>
        </w:rPr>
      </w:pPr>
    </w:p>
    <w:p w14:paraId="65BAE2C5" w14:textId="2EBF311C" w:rsidR="00DD2855" w:rsidRPr="006B11BE" w:rsidRDefault="00921442" w:rsidP="006B11BE">
      <w:pPr>
        <w:ind w:firstLine="720"/>
        <w:jc w:val="both"/>
        <w:rPr>
          <w:color w:val="000000" w:themeColor="text1"/>
          <w:szCs w:val="22"/>
          <w:lang w:val="fr-FR"/>
        </w:rPr>
      </w:pPr>
      <w:r w:rsidRPr="006B11BE">
        <w:rPr>
          <w:bCs/>
          <w:color w:val="000000" w:themeColor="text1"/>
          <w:szCs w:val="22"/>
          <w:lang w:val="fr-FR"/>
        </w:rPr>
        <w:t xml:space="preserve">2. </w:t>
      </w:r>
      <w:r w:rsidR="00587995" w:rsidRPr="006B11BE">
        <w:rPr>
          <w:bCs/>
          <w:color w:val="000000" w:themeColor="text1"/>
          <w:szCs w:val="22"/>
          <w:lang w:val="fr-FR"/>
        </w:rPr>
        <w:tab/>
      </w:r>
      <w:r w:rsidR="00DD2855" w:rsidRPr="006B11BE">
        <w:rPr>
          <w:color w:val="000000" w:themeColor="text1"/>
          <w:szCs w:val="22"/>
          <w:lang w:val="fr-FR"/>
        </w:rPr>
        <w:t xml:space="preserve">D’inviter les États membres de l’OEA, les observateurs permanents et les instances mondiales et régionales de gestion des catastrophes à fournir des données officielles, y compris des </w:t>
      </w:r>
      <w:r w:rsidR="00DD2855" w:rsidRPr="006B11BE">
        <w:rPr>
          <w:color w:val="000000" w:themeColor="text1"/>
          <w:szCs w:val="22"/>
          <w:lang w:val="fr-FR"/>
        </w:rPr>
        <w:lastRenderedPageBreak/>
        <w:t>informations sur le transfert de connaissances et d'expertise,</w:t>
      </w:r>
      <w:r w:rsidR="00CD12AF" w:rsidRPr="006B11BE">
        <w:rPr>
          <w:color w:val="000000" w:themeColor="text1"/>
          <w:szCs w:val="22"/>
          <w:lang w:val="fr-FR"/>
        </w:rPr>
        <w:t xml:space="preserve"> les leçons apprises, et les pratiques exemplaires dont disposent les États membres par le biais de la coopération,</w:t>
      </w:r>
      <w:r w:rsidR="00DD2855" w:rsidRPr="006B11BE">
        <w:rPr>
          <w:color w:val="000000" w:themeColor="text1"/>
          <w:szCs w:val="22"/>
          <w:lang w:val="fr-FR"/>
        </w:rPr>
        <w:t xml:space="preserve"> </w:t>
      </w:r>
      <w:r w:rsidR="00CD12AF" w:rsidRPr="006B11BE">
        <w:rPr>
          <w:color w:val="000000" w:themeColor="text1"/>
          <w:szCs w:val="22"/>
          <w:lang w:val="fr-FR"/>
        </w:rPr>
        <w:t>afin de les inclure dans</w:t>
      </w:r>
      <w:r w:rsidR="00DD2855" w:rsidRPr="006B11BE">
        <w:rPr>
          <w:color w:val="000000" w:themeColor="text1"/>
          <w:szCs w:val="22"/>
          <w:lang w:val="fr-FR"/>
        </w:rPr>
        <w:t xml:space="preserve"> la base de données du continent américain</w:t>
      </w:r>
      <w:r w:rsidR="00CD12AF" w:rsidRPr="006B11BE">
        <w:rPr>
          <w:color w:val="000000" w:themeColor="text1"/>
          <w:szCs w:val="22"/>
          <w:lang w:val="fr-FR"/>
        </w:rPr>
        <w:t xml:space="preserve">, </w:t>
      </w:r>
      <w:r w:rsidR="009070A1" w:rsidRPr="006B11BE">
        <w:rPr>
          <w:color w:val="000000" w:themeColor="text1"/>
          <w:szCs w:val="22"/>
          <w:lang w:val="fr-FR"/>
        </w:rPr>
        <w:t>qui servira à faciliter une préparation,</w:t>
      </w:r>
      <w:r w:rsidR="00DD2855" w:rsidRPr="006B11BE">
        <w:rPr>
          <w:color w:val="000000" w:themeColor="text1"/>
          <w:szCs w:val="22"/>
          <w:lang w:val="fr-FR"/>
        </w:rPr>
        <w:t xml:space="preserve"> </w:t>
      </w:r>
      <w:r w:rsidR="009070A1" w:rsidRPr="006B11BE">
        <w:rPr>
          <w:color w:val="000000" w:themeColor="text1"/>
          <w:szCs w:val="22"/>
          <w:lang w:val="fr-FR"/>
        </w:rPr>
        <w:t>des</w:t>
      </w:r>
      <w:r w:rsidR="00DD2855" w:rsidRPr="006B11BE">
        <w:rPr>
          <w:color w:val="000000" w:themeColor="text1"/>
          <w:szCs w:val="22"/>
          <w:lang w:val="fr-FR"/>
        </w:rPr>
        <w:t xml:space="preserve"> </w:t>
      </w:r>
      <w:r w:rsidR="009070A1" w:rsidRPr="006B11BE">
        <w:rPr>
          <w:color w:val="000000" w:themeColor="text1"/>
          <w:szCs w:val="22"/>
          <w:lang w:val="fr-FR"/>
        </w:rPr>
        <w:t>interventions</w:t>
      </w:r>
      <w:r w:rsidR="00DD2855" w:rsidRPr="006B11BE">
        <w:rPr>
          <w:color w:val="000000" w:themeColor="text1"/>
          <w:szCs w:val="22"/>
          <w:lang w:val="fr-FR"/>
        </w:rPr>
        <w:t xml:space="preserve"> et un relèvement efficaces, et </w:t>
      </w:r>
      <w:r w:rsidR="007836DD" w:rsidRPr="006B11BE">
        <w:rPr>
          <w:color w:val="000000" w:themeColor="text1"/>
          <w:szCs w:val="22"/>
          <w:lang w:val="fr-FR"/>
        </w:rPr>
        <w:t>à faire</w:t>
      </w:r>
      <w:r w:rsidR="00DD2855" w:rsidRPr="006B11BE">
        <w:rPr>
          <w:color w:val="000000" w:themeColor="text1"/>
          <w:szCs w:val="22"/>
          <w:lang w:val="fr-FR"/>
        </w:rPr>
        <w:t xml:space="preserve"> ainsi progresser la résilience aux catastrophes.</w:t>
      </w:r>
      <w:r w:rsidR="00F478E5" w:rsidRPr="006B11BE">
        <w:rPr>
          <w:color w:val="000000" w:themeColor="text1"/>
          <w:szCs w:val="22"/>
          <w:lang w:val="fr-FR"/>
        </w:rPr>
        <w:t xml:space="preserve"> </w:t>
      </w:r>
    </w:p>
    <w:p w14:paraId="544D424B" w14:textId="77777777" w:rsidR="00CD12AF" w:rsidRPr="006B11BE" w:rsidRDefault="00CD12AF" w:rsidP="006B11BE">
      <w:pPr>
        <w:jc w:val="both"/>
        <w:rPr>
          <w:color w:val="000000" w:themeColor="text1"/>
          <w:szCs w:val="22"/>
          <w:lang w:val="fr-FR"/>
        </w:rPr>
      </w:pPr>
    </w:p>
    <w:p w14:paraId="3EEBF5FB" w14:textId="0B25D0BB" w:rsidR="00DD2855" w:rsidRPr="006B11BE" w:rsidRDefault="00921442" w:rsidP="006B11BE">
      <w:pPr>
        <w:ind w:firstLine="720"/>
        <w:jc w:val="both"/>
        <w:rPr>
          <w:color w:val="000000" w:themeColor="text1"/>
          <w:szCs w:val="22"/>
          <w:lang w:val="fr-FR"/>
        </w:rPr>
      </w:pPr>
      <w:r w:rsidRPr="006B11BE">
        <w:rPr>
          <w:bCs/>
          <w:color w:val="000000" w:themeColor="text1"/>
          <w:szCs w:val="22"/>
          <w:lang w:val="fr-FR"/>
        </w:rPr>
        <w:t xml:space="preserve">3. </w:t>
      </w:r>
      <w:r w:rsidR="00587995" w:rsidRPr="006B11BE">
        <w:rPr>
          <w:bCs/>
          <w:color w:val="000000" w:themeColor="text1"/>
          <w:szCs w:val="22"/>
          <w:lang w:val="fr-FR"/>
        </w:rPr>
        <w:tab/>
      </w:r>
      <w:r w:rsidR="00DD2855" w:rsidRPr="006B11BE">
        <w:rPr>
          <w:color w:val="000000" w:themeColor="text1"/>
          <w:szCs w:val="22"/>
          <w:lang w:val="fr-FR"/>
        </w:rPr>
        <w:t>De tenir une réunion continentale sur la résilience aux catastrophes</w:t>
      </w:r>
      <w:r w:rsidR="007836DD" w:rsidRPr="006B11BE">
        <w:rPr>
          <w:color w:val="000000" w:themeColor="text1"/>
          <w:szCs w:val="22"/>
          <w:lang w:val="fr-FR"/>
        </w:rPr>
        <w:t>,</w:t>
      </w:r>
      <w:r w:rsidR="00DD2855" w:rsidRPr="006B11BE">
        <w:rPr>
          <w:color w:val="000000" w:themeColor="text1"/>
          <w:szCs w:val="22"/>
          <w:lang w:val="fr-FR"/>
        </w:rPr>
        <w:t xml:space="preserve"> par l’intermédiaire du Conseil permanent et du Conseil interaméricain pour le développement intégré (CIDI)</w:t>
      </w:r>
      <w:r w:rsidR="00585EA3" w:rsidRPr="006B11BE">
        <w:rPr>
          <w:color w:val="000000" w:themeColor="text1"/>
          <w:szCs w:val="22"/>
          <w:lang w:val="fr-FR"/>
        </w:rPr>
        <w:t>,</w:t>
      </w:r>
      <w:r w:rsidR="00DD2855" w:rsidRPr="006B11BE">
        <w:rPr>
          <w:color w:val="000000" w:themeColor="text1"/>
          <w:szCs w:val="22"/>
          <w:lang w:val="fr-FR"/>
        </w:rPr>
        <w:t xml:space="preserve"> au cours du premier trimestre de 2022, avec la participation virtuelle des membres du CIRDN et des organisations sous-régionales de prévention et d’intervention en cas de catastrophe, telles que l’Agence caribéenne de gestion des urgences en cas de catastrophe (CDEMA), le Centre pour la prévention des catastrophes naturelles en Amérique centrale (CEPREDENAC), la Commission andine de prévention et d’assistance en cas de catastrophes (CAPRADE), </w:t>
      </w:r>
      <w:r w:rsidR="00585EA3" w:rsidRPr="006B11BE">
        <w:rPr>
          <w:color w:val="000000" w:themeColor="text1"/>
          <w:szCs w:val="22"/>
          <w:lang w:val="fr-FR"/>
        </w:rPr>
        <w:t>la</w:t>
      </w:r>
      <w:r w:rsidR="00DD2855" w:rsidRPr="006B11BE">
        <w:rPr>
          <w:color w:val="000000" w:themeColor="text1"/>
          <w:szCs w:val="22"/>
          <w:lang w:val="fr-FR"/>
        </w:rPr>
        <w:t xml:space="preserve"> </w:t>
      </w:r>
      <w:r w:rsidR="00DD2855" w:rsidRPr="006B11BE">
        <w:rPr>
          <w:color w:val="000000" w:themeColor="text1"/>
          <w:szCs w:val="22"/>
          <w:shd w:val="clear" w:color="auto" w:fill="FFFFFF"/>
          <w:lang w:val="fr-FR"/>
        </w:rPr>
        <w:t>Réunion des ministres et hauts fonctionnaires chargés de la gestion intégrale des risques du MERCOSUR (RMAGIR)</w:t>
      </w:r>
      <w:r w:rsidR="00DD2855" w:rsidRPr="006B11BE">
        <w:rPr>
          <w:color w:val="000000" w:themeColor="text1"/>
          <w:szCs w:val="22"/>
          <w:lang w:val="fr-FR"/>
        </w:rPr>
        <w:t xml:space="preserve">, des organismes similaires du système des Nations Unies et d’autres organisations internationales, dans le but d’examiner et de proposer des recommandations de mesures plus inclusives, innovantes et propices à l’intégration destinées à renforcer l’efficacité du rôle de l’OEA dans la coopération multilatérale en matière de réduction des risques de catastrophe, d’intervention, de </w:t>
      </w:r>
      <w:r w:rsidRPr="006B11BE">
        <w:rPr>
          <w:color w:val="000000" w:themeColor="text1"/>
          <w:szCs w:val="22"/>
          <w:lang w:val="fr-FR"/>
        </w:rPr>
        <w:t>relèvement et de reconstruction</w:t>
      </w:r>
      <w:r w:rsidR="00DD2855" w:rsidRPr="006B11BE">
        <w:rPr>
          <w:color w:val="000000" w:themeColor="text1"/>
          <w:szCs w:val="22"/>
          <w:lang w:val="fr-FR"/>
        </w:rPr>
        <w:t xml:space="preserve"> afin de faire progresser la résilience aux catastrophes dans le continent américain.</w:t>
      </w:r>
      <w:r w:rsidR="00F478E5" w:rsidRPr="006B11BE">
        <w:rPr>
          <w:color w:val="000000" w:themeColor="text1"/>
          <w:szCs w:val="22"/>
          <w:lang w:val="fr-FR"/>
        </w:rPr>
        <w:t xml:space="preserve"> </w:t>
      </w:r>
    </w:p>
    <w:p w14:paraId="7D487060" w14:textId="1FFD7F05" w:rsidR="00DD2855" w:rsidRPr="006B11BE" w:rsidRDefault="00DD2855" w:rsidP="006B11BE">
      <w:pPr>
        <w:jc w:val="both"/>
        <w:rPr>
          <w:color w:val="000000" w:themeColor="text1"/>
          <w:szCs w:val="22"/>
          <w:lang w:val="fr-FR"/>
        </w:rPr>
      </w:pPr>
    </w:p>
    <w:p w14:paraId="5F0C1D0B" w14:textId="7BC7314F" w:rsidR="00DD2855" w:rsidRPr="006B11BE" w:rsidRDefault="00921442" w:rsidP="006B11BE">
      <w:pPr>
        <w:ind w:firstLine="720"/>
        <w:jc w:val="both"/>
        <w:rPr>
          <w:bCs/>
          <w:color w:val="000000" w:themeColor="text1"/>
          <w:szCs w:val="22"/>
          <w:lang w:val="fr-FR"/>
        </w:rPr>
      </w:pPr>
      <w:r w:rsidRPr="006B11BE">
        <w:rPr>
          <w:bCs/>
          <w:color w:val="000000" w:themeColor="text1"/>
          <w:szCs w:val="22"/>
          <w:lang w:val="fr-FR"/>
        </w:rPr>
        <w:t xml:space="preserve">4. </w:t>
      </w:r>
      <w:r w:rsidR="00587995" w:rsidRPr="006B11BE">
        <w:rPr>
          <w:bCs/>
          <w:color w:val="000000" w:themeColor="text1"/>
          <w:szCs w:val="22"/>
          <w:lang w:val="fr-FR"/>
        </w:rPr>
        <w:tab/>
      </w:r>
      <w:r w:rsidR="00DD2855" w:rsidRPr="006B11BE">
        <w:rPr>
          <w:color w:val="000000" w:themeColor="text1"/>
          <w:szCs w:val="22"/>
          <w:lang w:val="fr-FR"/>
        </w:rPr>
        <w:t>De promouvoir l’intégration, la coopération et la collaboration multisectorielle au sein de l’OEA et du Secrétariat général en ce qui concerne toutes les mesures prises aux fins de mise en œuvre dans le cadre des quatre piliers de l’OEA destinés à faire progresser la résilience aux catastrophes dans le continent américain.</w:t>
      </w:r>
      <w:r w:rsidR="005B2C3C" w:rsidRPr="006B11BE">
        <w:rPr>
          <w:color w:val="000000" w:themeColor="text1"/>
          <w:szCs w:val="22"/>
          <w:lang w:val="fr-FR"/>
        </w:rPr>
        <w:t xml:space="preserve"> </w:t>
      </w:r>
    </w:p>
    <w:p w14:paraId="6EC306BC" w14:textId="34C3E1BD" w:rsidR="00DD2855" w:rsidRPr="006B11BE" w:rsidRDefault="00DD2855" w:rsidP="006B11BE">
      <w:pPr>
        <w:jc w:val="both"/>
        <w:rPr>
          <w:bCs/>
          <w:color w:val="000000" w:themeColor="text1"/>
          <w:szCs w:val="22"/>
          <w:lang w:val="fr-FR"/>
        </w:rPr>
      </w:pPr>
    </w:p>
    <w:p w14:paraId="4AE64F09" w14:textId="6BFC086A" w:rsidR="00DD2855" w:rsidRPr="006B11BE" w:rsidRDefault="00921442" w:rsidP="006B11BE">
      <w:pPr>
        <w:ind w:firstLine="720"/>
        <w:jc w:val="both"/>
        <w:rPr>
          <w:bCs/>
          <w:color w:val="000000" w:themeColor="text1"/>
          <w:szCs w:val="22"/>
          <w:lang w:val="fr-FR"/>
        </w:rPr>
      </w:pPr>
      <w:r w:rsidRPr="006B11BE">
        <w:rPr>
          <w:bCs/>
          <w:color w:val="000000" w:themeColor="text1"/>
          <w:szCs w:val="22"/>
          <w:lang w:val="fr-FR"/>
        </w:rPr>
        <w:t xml:space="preserve">5. </w:t>
      </w:r>
      <w:r w:rsidR="00587995" w:rsidRPr="006B11BE">
        <w:rPr>
          <w:bCs/>
          <w:color w:val="000000" w:themeColor="text1"/>
          <w:szCs w:val="22"/>
          <w:lang w:val="fr-FR"/>
        </w:rPr>
        <w:tab/>
      </w:r>
      <w:r w:rsidR="00DD2855" w:rsidRPr="006B11BE">
        <w:rPr>
          <w:color w:val="000000" w:themeColor="text1"/>
          <w:szCs w:val="22"/>
          <w:lang w:val="fr-FR"/>
        </w:rPr>
        <w:t>De demander au Secrétariat général de</w:t>
      </w:r>
      <w:r w:rsidR="00E5558A" w:rsidRPr="006B11BE">
        <w:rPr>
          <w:color w:val="000000" w:themeColor="text1"/>
          <w:szCs w:val="22"/>
          <w:lang w:val="fr-FR"/>
        </w:rPr>
        <w:t xml:space="preserve"> continuer à</w:t>
      </w:r>
      <w:r w:rsidR="00DD2855" w:rsidRPr="006B11BE">
        <w:rPr>
          <w:color w:val="000000" w:themeColor="text1"/>
          <w:szCs w:val="22"/>
          <w:lang w:val="fr-FR"/>
        </w:rPr>
        <w:t xml:space="preserve"> renforcer ses relations avec les </w:t>
      </w:r>
      <w:r w:rsidR="00E5558A" w:rsidRPr="006B11BE">
        <w:rPr>
          <w:color w:val="000000" w:themeColor="text1"/>
          <w:szCs w:val="22"/>
          <w:lang w:val="fr-FR"/>
        </w:rPr>
        <w:t xml:space="preserve">partenaires </w:t>
      </w:r>
      <w:r w:rsidR="00DD2855" w:rsidRPr="006B11BE">
        <w:rPr>
          <w:color w:val="000000" w:themeColor="text1"/>
          <w:szCs w:val="22"/>
          <w:lang w:val="fr-FR"/>
        </w:rPr>
        <w:t>stratégiques</w:t>
      </w:r>
      <w:r w:rsidR="00E5558A" w:rsidRPr="006B11BE">
        <w:rPr>
          <w:color w:val="000000" w:themeColor="text1"/>
          <w:szCs w:val="22"/>
          <w:lang w:val="fr-FR"/>
        </w:rPr>
        <w:t xml:space="preserve"> </w:t>
      </w:r>
      <w:r w:rsidR="00DD2855" w:rsidRPr="006B11BE">
        <w:rPr>
          <w:color w:val="000000" w:themeColor="text1"/>
          <w:szCs w:val="22"/>
          <w:lang w:val="fr-FR"/>
        </w:rPr>
        <w:t>internationaux et sous-régionaux</w:t>
      </w:r>
      <w:r w:rsidR="003C55F5" w:rsidRPr="006B11BE">
        <w:rPr>
          <w:color w:val="000000" w:themeColor="text1"/>
          <w:szCs w:val="22"/>
          <w:lang w:val="fr-FR"/>
        </w:rPr>
        <w:t xml:space="preserve"> en matière de gestion des catastrophes,</w:t>
      </w:r>
      <w:r w:rsidR="00DD2855" w:rsidRPr="006B11BE">
        <w:rPr>
          <w:color w:val="000000" w:themeColor="text1"/>
          <w:szCs w:val="22"/>
          <w:lang w:val="fr-FR"/>
        </w:rPr>
        <w:t xml:space="preserve"> particulièrement dans le cadre de la Commission interaméricaine pour la réduction des catastrophes naturelles (CIRDN)</w:t>
      </w:r>
      <w:r w:rsidR="003C55F5" w:rsidRPr="006B11BE">
        <w:rPr>
          <w:color w:val="000000" w:themeColor="text1"/>
          <w:szCs w:val="22"/>
          <w:lang w:val="fr-FR"/>
        </w:rPr>
        <w:t>,</w:t>
      </w:r>
      <w:r w:rsidR="00DD2855" w:rsidRPr="006B11BE">
        <w:rPr>
          <w:color w:val="000000" w:themeColor="text1"/>
          <w:szCs w:val="22"/>
          <w:lang w:val="fr-FR"/>
        </w:rPr>
        <w:t xml:space="preserve"> afin de compléter, de faciliter et d’intégrer l’exécution de toute mesure nouvelle ou existante visant à promouvoir la résilience aux catastrophes dans le continent américain.</w:t>
      </w:r>
      <w:r w:rsidR="003C55F5" w:rsidRPr="006B11BE">
        <w:rPr>
          <w:color w:val="000000" w:themeColor="text1"/>
          <w:szCs w:val="22"/>
          <w:lang w:val="fr-FR"/>
        </w:rPr>
        <w:t xml:space="preserve"> </w:t>
      </w:r>
    </w:p>
    <w:p w14:paraId="0072E61D" w14:textId="77777777" w:rsidR="00DD2855" w:rsidRPr="006B11BE" w:rsidRDefault="00DD2855" w:rsidP="006B11BE">
      <w:pPr>
        <w:jc w:val="both"/>
        <w:rPr>
          <w:bCs/>
          <w:color w:val="000000" w:themeColor="text1"/>
          <w:szCs w:val="22"/>
          <w:lang w:val="fr-FR"/>
        </w:rPr>
      </w:pPr>
    </w:p>
    <w:p w14:paraId="52F291D8" w14:textId="0C29C3DD" w:rsidR="00DD2855" w:rsidRPr="006B11BE" w:rsidRDefault="00921442" w:rsidP="006B11BE">
      <w:pPr>
        <w:ind w:firstLine="720"/>
        <w:jc w:val="both"/>
        <w:rPr>
          <w:bCs/>
          <w:color w:val="000000" w:themeColor="text1"/>
          <w:szCs w:val="22"/>
          <w:lang w:val="fr-FR"/>
        </w:rPr>
      </w:pPr>
      <w:r w:rsidRPr="006B11BE">
        <w:rPr>
          <w:bCs/>
          <w:color w:val="000000" w:themeColor="text1"/>
          <w:szCs w:val="22"/>
          <w:lang w:val="fr-FR"/>
        </w:rPr>
        <w:t xml:space="preserve">6. </w:t>
      </w:r>
      <w:r w:rsidR="00587995" w:rsidRPr="006B11BE">
        <w:rPr>
          <w:bCs/>
          <w:color w:val="000000" w:themeColor="text1"/>
          <w:szCs w:val="22"/>
          <w:lang w:val="fr-FR"/>
        </w:rPr>
        <w:tab/>
      </w:r>
      <w:r w:rsidR="00DD2855" w:rsidRPr="006B11BE">
        <w:rPr>
          <w:color w:val="000000" w:themeColor="text1"/>
          <w:szCs w:val="22"/>
          <w:lang w:val="fr-FR"/>
        </w:rPr>
        <w:t>D’encourager les États membres, co</w:t>
      </w:r>
      <w:r w:rsidRPr="006B11BE">
        <w:rPr>
          <w:color w:val="000000" w:themeColor="text1"/>
          <w:szCs w:val="22"/>
          <w:lang w:val="fr-FR"/>
        </w:rPr>
        <w:t>nformément à l’appel lancé dans</w:t>
      </w:r>
      <w:r w:rsidR="00DD2855" w:rsidRPr="006B11BE">
        <w:rPr>
          <w:color w:val="000000" w:themeColor="text1"/>
          <w:szCs w:val="22"/>
          <w:lang w:val="fr-FR"/>
        </w:rPr>
        <w:t xml:space="preserve"> le Cadre d’action de Sendai, à favoriser la réduction des risques de catastrophe, y compris par la prévention, l’atténuation et la préparation de ces risques, à assurer, de manière rapide et efficace, une réponse aux catastrophes et un relèvement au lendemain celles-ci, et à promouvoir la coopération internationale pour renforcer la résilience.</w:t>
      </w:r>
    </w:p>
    <w:p w14:paraId="3ED1E4DC" w14:textId="01C6BF3A" w:rsidR="00DD2855" w:rsidRPr="006B11BE" w:rsidRDefault="00DD2855" w:rsidP="006B11BE">
      <w:pPr>
        <w:jc w:val="both"/>
        <w:rPr>
          <w:bCs/>
          <w:color w:val="000000" w:themeColor="text1"/>
          <w:szCs w:val="22"/>
          <w:lang w:val="fr-FR"/>
        </w:rPr>
      </w:pPr>
    </w:p>
    <w:p w14:paraId="1545A59D" w14:textId="449CB27A" w:rsidR="00DD2855" w:rsidRPr="006B11BE" w:rsidRDefault="0041040E" w:rsidP="006B11BE">
      <w:pPr>
        <w:ind w:firstLine="720"/>
        <w:jc w:val="both"/>
        <w:rPr>
          <w:color w:val="000000" w:themeColor="text1"/>
          <w:szCs w:val="22"/>
          <w:lang w:val="fr-FR"/>
        </w:rPr>
      </w:pPr>
      <w:r w:rsidRPr="006B11BE">
        <w:rPr>
          <w:bCs/>
          <w:color w:val="000000" w:themeColor="text1"/>
          <w:szCs w:val="22"/>
          <w:lang w:val="fr-FR"/>
        </w:rPr>
        <w:t xml:space="preserve">7. </w:t>
      </w:r>
      <w:r w:rsidR="00587995" w:rsidRPr="006B11BE">
        <w:rPr>
          <w:bCs/>
          <w:color w:val="000000" w:themeColor="text1"/>
          <w:szCs w:val="22"/>
          <w:lang w:val="fr-FR"/>
        </w:rPr>
        <w:tab/>
      </w:r>
      <w:r w:rsidR="00DD2855" w:rsidRPr="006B11BE">
        <w:rPr>
          <w:color w:val="000000" w:themeColor="text1"/>
          <w:szCs w:val="22"/>
          <w:lang w:val="fr-FR"/>
        </w:rPr>
        <w:t xml:space="preserve">D’inviter les États membres à continuer d'adopter, s’il y a lieu, et de mettre en œuvre de manière effective les mesures législatives nécessaires et autres mesures appropriées pour atténuer les effets des catastrophes, et à intégrer les stratégies de réduction des risques de catastrophe dans la planification du développement. </w:t>
      </w:r>
    </w:p>
    <w:p w14:paraId="2BEF3BC6" w14:textId="799EF0A4" w:rsidR="00DD2855" w:rsidRPr="006B11BE" w:rsidRDefault="00DD2855" w:rsidP="006B11BE">
      <w:pPr>
        <w:jc w:val="both"/>
        <w:rPr>
          <w:color w:val="000000" w:themeColor="text1"/>
          <w:szCs w:val="22"/>
          <w:lang w:val="fr-FR"/>
        </w:rPr>
      </w:pPr>
    </w:p>
    <w:p w14:paraId="279683F8" w14:textId="17AE5AA6" w:rsidR="005C4521" w:rsidRDefault="00F062B3" w:rsidP="00D716DA">
      <w:pPr>
        <w:ind w:firstLine="720"/>
        <w:jc w:val="both"/>
        <w:rPr>
          <w:noProof/>
          <w:lang w:val="fr-CA"/>
        </w:rPr>
      </w:pPr>
      <w:r w:rsidRPr="006B11BE">
        <w:rPr>
          <w:bCs/>
          <w:color w:val="000000" w:themeColor="text1"/>
          <w:szCs w:val="22"/>
          <w:lang w:val="fr-FR"/>
        </w:rPr>
        <w:t xml:space="preserve">8. </w:t>
      </w:r>
      <w:r w:rsidR="00587995" w:rsidRPr="006B11BE">
        <w:rPr>
          <w:bCs/>
          <w:color w:val="000000" w:themeColor="text1"/>
          <w:szCs w:val="22"/>
          <w:lang w:val="fr-FR"/>
        </w:rPr>
        <w:tab/>
      </w:r>
      <w:r w:rsidR="00DD2855" w:rsidRPr="006B11BE">
        <w:rPr>
          <w:color w:val="000000" w:themeColor="text1"/>
          <w:szCs w:val="22"/>
          <w:lang w:val="fr-FR"/>
        </w:rPr>
        <w:t xml:space="preserve">De demander au Conseil permanent de soumettre un rapport à la cinquante-deuxième session ordinaire de l’Assemblée générale sur les suites données à la présente résolution, qui </w:t>
      </w:r>
      <w:r w:rsidR="00DD2855" w:rsidRPr="006B11BE">
        <w:rPr>
          <w:color w:val="000000" w:themeColor="text1"/>
          <w:szCs w:val="22"/>
          <w:lang w:val="fr-FR"/>
        </w:rPr>
        <w:lastRenderedPageBreak/>
        <w:t>dépendront de la disponibilité des ressources financières inscrites à ce titre dans le Programme-budget de l’Organisation, ainsi que d’autres ressources.</w:t>
      </w:r>
      <w:r w:rsidR="00D716DA" w:rsidRPr="00D716DA">
        <w:rPr>
          <w:noProof/>
          <w:lang w:val="fr-CA"/>
        </w:rPr>
        <w:t xml:space="preserve"> </w:t>
      </w:r>
    </w:p>
    <w:p w14:paraId="059D4BB5" w14:textId="0F539E24" w:rsidR="00C1246E" w:rsidRPr="006B11BE" w:rsidRDefault="00C1246E" w:rsidP="00D716DA">
      <w:pPr>
        <w:ind w:firstLine="720"/>
        <w:jc w:val="both"/>
        <w:rPr>
          <w:bCs/>
          <w:szCs w:val="22"/>
          <w:u w:val="single"/>
          <w:lang w:val="fr-FR"/>
        </w:rPr>
      </w:pPr>
      <w:r>
        <w:rPr>
          <w:noProof/>
        </w:rPr>
        <w:drawing>
          <wp:anchor distT="0" distB="0" distL="114300" distR="114300" simplePos="0" relativeHeight="251660288" behindDoc="0" locked="0" layoutInCell="1" allowOverlap="1" wp14:anchorId="17C1321F" wp14:editId="254A644A">
            <wp:simplePos x="0" y="0"/>
            <wp:positionH relativeFrom="margin">
              <wp:posOffset>4983480</wp:posOffset>
            </wp:positionH>
            <wp:positionV relativeFrom="paragraph">
              <wp:posOffset>158821</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7E">
        <w:rPr>
          <w:bCs/>
          <w:noProof/>
          <w:szCs w:val="22"/>
          <w:u w:val="single"/>
          <w:lang w:val="fr-FR"/>
        </w:rPr>
        <mc:AlternateContent>
          <mc:Choice Requires="wps">
            <w:drawing>
              <wp:anchor distT="0" distB="0" distL="114300" distR="114300" simplePos="0" relativeHeight="251661312" behindDoc="0" locked="1" layoutInCell="1" allowOverlap="1" wp14:anchorId="15E67FC1" wp14:editId="67941218">
                <wp:simplePos x="0" y="0"/>
                <wp:positionH relativeFrom="column">
                  <wp:posOffset>-92075</wp:posOffset>
                </wp:positionH>
                <wp:positionV relativeFrom="margin">
                  <wp:posOffset>7798435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5BA79F" w14:textId="01BE39D6" w:rsidR="0087407E" w:rsidRPr="0087407E" w:rsidRDefault="0087407E">
                            <w:pPr>
                              <w:rPr>
                                <w:sz w:val="18"/>
                              </w:rPr>
                            </w:pPr>
                            <w:r>
                              <w:rPr>
                                <w:sz w:val="18"/>
                              </w:rPr>
                              <w:fldChar w:fldCharType="begin"/>
                            </w:r>
                            <w:r>
                              <w:rPr>
                                <w:sz w:val="18"/>
                              </w:rPr>
                              <w:instrText xml:space="preserve"> FILENAME  \* MERGEFORMAT </w:instrText>
                            </w:r>
                            <w:r>
                              <w:rPr>
                                <w:sz w:val="18"/>
                              </w:rPr>
                              <w:fldChar w:fldCharType="separate"/>
                            </w:r>
                            <w:r>
                              <w:rPr>
                                <w:noProof/>
                                <w:sz w:val="18"/>
                              </w:rPr>
                              <w:t>AG08391F01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E67FC1" id="_x0000_t202" coordsize="21600,21600" o:spt="202" path="m,l,21600r21600,l21600,xe">
                <v:stroke joinstyle="miter"/>
                <v:path gradientshapeok="t" o:connecttype="rect"/>
              </v:shapetype>
              <v:shape id="Text Box 3" o:spid="_x0000_s1026" type="#_x0000_t202" style="position:absolute;left:0;text-align:left;margin-left:-7.25pt;margin-top:614.05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" filled="f" stroked="f">
                <v:stroke joinstyle="round"/>
                <v:textbox>
                  <w:txbxContent>
                    <w:p w14:paraId="025BA79F" w14:textId="01BE39D6" w:rsidR="0087407E" w:rsidRPr="0087407E" w:rsidRDefault="0087407E">
                      <w:pPr>
                        <w:rPr>
                          <w:sz w:val="18"/>
                        </w:rPr>
                      </w:pPr>
                      <w:r>
                        <w:rPr>
                          <w:sz w:val="18"/>
                        </w:rPr>
                        <w:fldChar w:fldCharType="begin"/>
                      </w:r>
                      <w:r>
                        <w:rPr>
                          <w:sz w:val="18"/>
                        </w:rPr>
                        <w:instrText xml:space="preserve"> FILENAME  \* MERGEFORMAT </w:instrText>
                      </w:r>
                      <w:r>
                        <w:rPr>
                          <w:sz w:val="18"/>
                        </w:rPr>
                        <w:fldChar w:fldCharType="separate"/>
                      </w:r>
                      <w:r>
                        <w:rPr>
                          <w:noProof/>
                          <w:sz w:val="18"/>
                        </w:rPr>
                        <w:t>AG08391F01</w:t>
                      </w:r>
                      <w:r>
                        <w:rPr>
                          <w:sz w:val="18"/>
                        </w:rPr>
                        <w:fldChar w:fldCharType="end"/>
                      </w:r>
                    </w:p>
                  </w:txbxContent>
                </v:textbox>
                <w10:wrap anchory="margin"/>
                <w10:anchorlock/>
              </v:shape>
            </w:pict>
          </mc:Fallback>
        </mc:AlternateContent>
      </w:r>
    </w:p>
    <w:sectPr w:rsidR="00C1246E" w:rsidRPr="006B11BE" w:rsidSect="003D7580">
      <w:headerReference w:type="default" r:id="rId11"/>
      <w:type w:val="oddPage"/>
      <w:pgSz w:w="12240" w:h="15840" w:code="1"/>
      <w:pgMar w:top="2160" w:right="1570" w:bottom="1296" w:left="1699" w:header="1296" w:footer="1296" w:gutter="0"/>
      <w:pgNumType w:start="1"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F53A" w14:textId="77777777" w:rsidR="009E224F" w:rsidRDefault="009E224F">
      <w:r>
        <w:separator/>
      </w:r>
    </w:p>
  </w:endnote>
  <w:endnote w:type="continuationSeparator" w:id="0">
    <w:p w14:paraId="789165BB" w14:textId="77777777" w:rsidR="009E224F" w:rsidRDefault="009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2658" w14:textId="77777777" w:rsidR="009E224F" w:rsidRDefault="009E224F">
      <w:r>
        <w:separator/>
      </w:r>
    </w:p>
  </w:footnote>
  <w:footnote w:type="continuationSeparator" w:id="0">
    <w:p w14:paraId="0F6696B7" w14:textId="77777777" w:rsidR="009E224F" w:rsidRDefault="009E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09207"/>
      <w:docPartObj>
        <w:docPartGallery w:val="Page Numbers (Top of Page)"/>
        <w:docPartUnique/>
      </w:docPartObj>
    </w:sdtPr>
    <w:sdtEndPr>
      <w:rPr>
        <w:noProof/>
      </w:rPr>
    </w:sdtEndPr>
    <w:sdtContent>
      <w:p w14:paraId="689B63C1" w14:textId="31857600" w:rsidR="003D7580" w:rsidRDefault="003D7580">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FD8FDD7" w14:textId="77777777" w:rsidR="003D7580" w:rsidRDefault="003D7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40A7"/>
    <w:multiLevelType w:val="hybridMultilevel"/>
    <w:tmpl w:val="CAD27950"/>
    <w:lvl w:ilvl="0" w:tplc="0E08C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fr-CA" w:vendorID="64" w:dllVersion="6" w:nlCheck="1" w:checkStyle="1"/>
  <w:activeWritingStyle w:appName="MSWord" w:lang="es-UY"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US" w:vendorID="64" w:dllVersion="6" w:nlCheck="1" w:checkStyle="1"/>
  <w:activeWritingStyle w:appName="MSWord" w:lang="es-CL" w:vendorID="64" w:dllVersion="0" w:nlCheck="1" w:checkStyle="0"/>
  <w:activeWritingStyle w:appName="MSWord" w:lang="en-CA"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4A"/>
    <w:rsid w:val="00000B20"/>
    <w:rsid w:val="000057B9"/>
    <w:rsid w:val="00010744"/>
    <w:rsid w:val="00014210"/>
    <w:rsid w:val="00021705"/>
    <w:rsid w:val="00024DF0"/>
    <w:rsid w:val="00032CC8"/>
    <w:rsid w:val="00033649"/>
    <w:rsid w:val="00034D1E"/>
    <w:rsid w:val="000360C8"/>
    <w:rsid w:val="000409AC"/>
    <w:rsid w:val="0004297F"/>
    <w:rsid w:val="00044AFB"/>
    <w:rsid w:val="00047269"/>
    <w:rsid w:val="0005166C"/>
    <w:rsid w:val="000557E4"/>
    <w:rsid w:val="000562B6"/>
    <w:rsid w:val="00062449"/>
    <w:rsid w:val="000644E7"/>
    <w:rsid w:val="00064F53"/>
    <w:rsid w:val="00067961"/>
    <w:rsid w:val="000700A3"/>
    <w:rsid w:val="0007077E"/>
    <w:rsid w:val="000711D2"/>
    <w:rsid w:val="000712CF"/>
    <w:rsid w:val="00073F78"/>
    <w:rsid w:val="000843C3"/>
    <w:rsid w:val="00084555"/>
    <w:rsid w:val="00095BC9"/>
    <w:rsid w:val="000977DC"/>
    <w:rsid w:val="00097D4B"/>
    <w:rsid w:val="000B035C"/>
    <w:rsid w:val="000C06C5"/>
    <w:rsid w:val="000C70DB"/>
    <w:rsid w:val="000D7B6D"/>
    <w:rsid w:val="000D7F13"/>
    <w:rsid w:val="000E1E3A"/>
    <w:rsid w:val="000E2EC1"/>
    <w:rsid w:val="000E3AB7"/>
    <w:rsid w:val="000E4212"/>
    <w:rsid w:val="000E5BB7"/>
    <w:rsid w:val="000F0BCA"/>
    <w:rsid w:val="000F0E24"/>
    <w:rsid w:val="000F2488"/>
    <w:rsid w:val="000F4DD3"/>
    <w:rsid w:val="000F50AD"/>
    <w:rsid w:val="000F5C8B"/>
    <w:rsid w:val="000F734B"/>
    <w:rsid w:val="000F75FD"/>
    <w:rsid w:val="001032DA"/>
    <w:rsid w:val="0010362B"/>
    <w:rsid w:val="00107984"/>
    <w:rsid w:val="00110BFD"/>
    <w:rsid w:val="0011413D"/>
    <w:rsid w:val="00116A65"/>
    <w:rsid w:val="00116F7F"/>
    <w:rsid w:val="001170D9"/>
    <w:rsid w:val="00117D59"/>
    <w:rsid w:val="00121D91"/>
    <w:rsid w:val="00124274"/>
    <w:rsid w:val="00126EEF"/>
    <w:rsid w:val="00131A52"/>
    <w:rsid w:val="0013281A"/>
    <w:rsid w:val="00133BD0"/>
    <w:rsid w:val="00136BB6"/>
    <w:rsid w:val="00136C6B"/>
    <w:rsid w:val="00145A80"/>
    <w:rsid w:val="00147567"/>
    <w:rsid w:val="00152D16"/>
    <w:rsid w:val="00152EAB"/>
    <w:rsid w:val="00156DA0"/>
    <w:rsid w:val="0016229A"/>
    <w:rsid w:val="00162CE7"/>
    <w:rsid w:val="00177A45"/>
    <w:rsid w:val="001822AE"/>
    <w:rsid w:val="00184B2C"/>
    <w:rsid w:val="00186FD4"/>
    <w:rsid w:val="00190232"/>
    <w:rsid w:val="00191915"/>
    <w:rsid w:val="00191EFE"/>
    <w:rsid w:val="00192B06"/>
    <w:rsid w:val="00193368"/>
    <w:rsid w:val="00195AE6"/>
    <w:rsid w:val="001A019E"/>
    <w:rsid w:val="001A11A6"/>
    <w:rsid w:val="001A1928"/>
    <w:rsid w:val="001A299D"/>
    <w:rsid w:val="001A35AF"/>
    <w:rsid w:val="001A5EF7"/>
    <w:rsid w:val="001B1771"/>
    <w:rsid w:val="001B25A5"/>
    <w:rsid w:val="001B37C3"/>
    <w:rsid w:val="001B62F6"/>
    <w:rsid w:val="001C545D"/>
    <w:rsid w:val="001D231C"/>
    <w:rsid w:val="001D344A"/>
    <w:rsid w:val="001D4CC1"/>
    <w:rsid w:val="001D5995"/>
    <w:rsid w:val="001D6D92"/>
    <w:rsid w:val="001E18DF"/>
    <w:rsid w:val="001E5CCF"/>
    <w:rsid w:val="001F07DC"/>
    <w:rsid w:val="001F6387"/>
    <w:rsid w:val="001F75B7"/>
    <w:rsid w:val="001F7695"/>
    <w:rsid w:val="001F770E"/>
    <w:rsid w:val="0020041D"/>
    <w:rsid w:val="00201C94"/>
    <w:rsid w:val="002026D1"/>
    <w:rsid w:val="00213007"/>
    <w:rsid w:val="00215D1E"/>
    <w:rsid w:val="00216D47"/>
    <w:rsid w:val="00222771"/>
    <w:rsid w:val="00222ECF"/>
    <w:rsid w:val="00226CCD"/>
    <w:rsid w:val="00231675"/>
    <w:rsid w:val="00236123"/>
    <w:rsid w:val="0023773F"/>
    <w:rsid w:val="00241E0B"/>
    <w:rsid w:val="00242264"/>
    <w:rsid w:val="00242CD2"/>
    <w:rsid w:val="002446B9"/>
    <w:rsid w:val="002466DB"/>
    <w:rsid w:val="00253FE6"/>
    <w:rsid w:val="00257FF2"/>
    <w:rsid w:val="002602E5"/>
    <w:rsid w:val="00260E32"/>
    <w:rsid w:val="00261388"/>
    <w:rsid w:val="00262BDF"/>
    <w:rsid w:val="0026585C"/>
    <w:rsid w:val="00272C72"/>
    <w:rsid w:val="00276160"/>
    <w:rsid w:val="00276D1D"/>
    <w:rsid w:val="002774FB"/>
    <w:rsid w:val="00281D94"/>
    <w:rsid w:val="00283A48"/>
    <w:rsid w:val="002902EB"/>
    <w:rsid w:val="002911AF"/>
    <w:rsid w:val="00292789"/>
    <w:rsid w:val="00294A9C"/>
    <w:rsid w:val="002951A8"/>
    <w:rsid w:val="00295312"/>
    <w:rsid w:val="00297970"/>
    <w:rsid w:val="002A0107"/>
    <w:rsid w:val="002A3F61"/>
    <w:rsid w:val="002A45FE"/>
    <w:rsid w:val="002A4901"/>
    <w:rsid w:val="002A58A9"/>
    <w:rsid w:val="002A6F82"/>
    <w:rsid w:val="002A717A"/>
    <w:rsid w:val="002B591D"/>
    <w:rsid w:val="002B60B0"/>
    <w:rsid w:val="002C3427"/>
    <w:rsid w:val="002C4709"/>
    <w:rsid w:val="002D3495"/>
    <w:rsid w:val="002D59EB"/>
    <w:rsid w:val="002D6110"/>
    <w:rsid w:val="002F339F"/>
    <w:rsid w:val="002F3799"/>
    <w:rsid w:val="002F41E6"/>
    <w:rsid w:val="002F517E"/>
    <w:rsid w:val="00300E01"/>
    <w:rsid w:val="00301DA3"/>
    <w:rsid w:val="003026FE"/>
    <w:rsid w:val="0030321E"/>
    <w:rsid w:val="00306DBF"/>
    <w:rsid w:val="003072D6"/>
    <w:rsid w:val="0031168B"/>
    <w:rsid w:val="003160EE"/>
    <w:rsid w:val="00316858"/>
    <w:rsid w:val="00320841"/>
    <w:rsid w:val="00322CB1"/>
    <w:rsid w:val="0032387B"/>
    <w:rsid w:val="00327C1C"/>
    <w:rsid w:val="00332262"/>
    <w:rsid w:val="00334524"/>
    <w:rsid w:val="003366F5"/>
    <w:rsid w:val="00337709"/>
    <w:rsid w:val="003377F9"/>
    <w:rsid w:val="00340B54"/>
    <w:rsid w:val="00340BF6"/>
    <w:rsid w:val="00341033"/>
    <w:rsid w:val="003520A7"/>
    <w:rsid w:val="003568F1"/>
    <w:rsid w:val="00361591"/>
    <w:rsid w:val="00361A1F"/>
    <w:rsid w:val="003623A0"/>
    <w:rsid w:val="0036681A"/>
    <w:rsid w:val="003705DC"/>
    <w:rsid w:val="0037295B"/>
    <w:rsid w:val="00375E1A"/>
    <w:rsid w:val="00376000"/>
    <w:rsid w:val="00380C00"/>
    <w:rsid w:val="0038264D"/>
    <w:rsid w:val="00383660"/>
    <w:rsid w:val="00384927"/>
    <w:rsid w:val="0038668A"/>
    <w:rsid w:val="00391A8F"/>
    <w:rsid w:val="003932DE"/>
    <w:rsid w:val="00393416"/>
    <w:rsid w:val="003976AE"/>
    <w:rsid w:val="003A1CF0"/>
    <w:rsid w:val="003B000F"/>
    <w:rsid w:val="003B154B"/>
    <w:rsid w:val="003B1FDE"/>
    <w:rsid w:val="003B33E1"/>
    <w:rsid w:val="003B4A0F"/>
    <w:rsid w:val="003C2E10"/>
    <w:rsid w:val="003C55F5"/>
    <w:rsid w:val="003C5F67"/>
    <w:rsid w:val="003C61D0"/>
    <w:rsid w:val="003D206E"/>
    <w:rsid w:val="003D56AE"/>
    <w:rsid w:val="003D59FB"/>
    <w:rsid w:val="003D7580"/>
    <w:rsid w:val="003E2798"/>
    <w:rsid w:val="003E2AB7"/>
    <w:rsid w:val="003E4520"/>
    <w:rsid w:val="003E4B2F"/>
    <w:rsid w:val="003E5517"/>
    <w:rsid w:val="003E7AC2"/>
    <w:rsid w:val="003F03FA"/>
    <w:rsid w:val="003F059E"/>
    <w:rsid w:val="003F0E66"/>
    <w:rsid w:val="003F4B91"/>
    <w:rsid w:val="003F66F4"/>
    <w:rsid w:val="00402EB3"/>
    <w:rsid w:val="00407127"/>
    <w:rsid w:val="0041040E"/>
    <w:rsid w:val="00410523"/>
    <w:rsid w:val="00421CBD"/>
    <w:rsid w:val="00424188"/>
    <w:rsid w:val="004306E5"/>
    <w:rsid w:val="00432541"/>
    <w:rsid w:val="0044153E"/>
    <w:rsid w:val="00444DDE"/>
    <w:rsid w:val="004471EA"/>
    <w:rsid w:val="004510CF"/>
    <w:rsid w:val="00451FB6"/>
    <w:rsid w:val="00452108"/>
    <w:rsid w:val="004604AD"/>
    <w:rsid w:val="00461451"/>
    <w:rsid w:val="004719C8"/>
    <w:rsid w:val="00475AFA"/>
    <w:rsid w:val="004775B1"/>
    <w:rsid w:val="00480569"/>
    <w:rsid w:val="00481B98"/>
    <w:rsid w:val="00482F09"/>
    <w:rsid w:val="0049231D"/>
    <w:rsid w:val="00493E6A"/>
    <w:rsid w:val="004967D4"/>
    <w:rsid w:val="00496A26"/>
    <w:rsid w:val="00497CBE"/>
    <w:rsid w:val="004A03E2"/>
    <w:rsid w:val="004A3074"/>
    <w:rsid w:val="004A3660"/>
    <w:rsid w:val="004A6569"/>
    <w:rsid w:val="004B5F2F"/>
    <w:rsid w:val="004B6E3F"/>
    <w:rsid w:val="004B7703"/>
    <w:rsid w:val="004C06A9"/>
    <w:rsid w:val="004C3139"/>
    <w:rsid w:val="004C3D33"/>
    <w:rsid w:val="004C45C2"/>
    <w:rsid w:val="004C4E38"/>
    <w:rsid w:val="004C6DF0"/>
    <w:rsid w:val="004D1846"/>
    <w:rsid w:val="004D3551"/>
    <w:rsid w:val="004D5159"/>
    <w:rsid w:val="004E0264"/>
    <w:rsid w:val="004E3295"/>
    <w:rsid w:val="004E425C"/>
    <w:rsid w:val="004E442D"/>
    <w:rsid w:val="004E44BB"/>
    <w:rsid w:val="004E4B62"/>
    <w:rsid w:val="004E5A3F"/>
    <w:rsid w:val="004F250C"/>
    <w:rsid w:val="00500430"/>
    <w:rsid w:val="00501A83"/>
    <w:rsid w:val="005053AC"/>
    <w:rsid w:val="005059DB"/>
    <w:rsid w:val="00507057"/>
    <w:rsid w:val="00511DDB"/>
    <w:rsid w:val="005165BE"/>
    <w:rsid w:val="00523123"/>
    <w:rsid w:val="00530417"/>
    <w:rsid w:val="005327B2"/>
    <w:rsid w:val="00535A75"/>
    <w:rsid w:val="0054079E"/>
    <w:rsid w:val="0054177E"/>
    <w:rsid w:val="0054181F"/>
    <w:rsid w:val="00542F7E"/>
    <w:rsid w:val="005456A0"/>
    <w:rsid w:val="005603A4"/>
    <w:rsid w:val="00561349"/>
    <w:rsid w:val="00565A6D"/>
    <w:rsid w:val="00572015"/>
    <w:rsid w:val="00572C0C"/>
    <w:rsid w:val="00574E54"/>
    <w:rsid w:val="00576BE9"/>
    <w:rsid w:val="0057713A"/>
    <w:rsid w:val="0057759B"/>
    <w:rsid w:val="0058109F"/>
    <w:rsid w:val="00582643"/>
    <w:rsid w:val="00584B89"/>
    <w:rsid w:val="00585EA3"/>
    <w:rsid w:val="0058628F"/>
    <w:rsid w:val="00587995"/>
    <w:rsid w:val="00590803"/>
    <w:rsid w:val="0059168F"/>
    <w:rsid w:val="00593AA3"/>
    <w:rsid w:val="00594A80"/>
    <w:rsid w:val="005954B6"/>
    <w:rsid w:val="005A02EB"/>
    <w:rsid w:val="005A1890"/>
    <w:rsid w:val="005A3925"/>
    <w:rsid w:val="005A3B23"/>
    <w:rsid w:val="005A3B2F"/>
    <w:rsid w:val="005A583D"/>
    <w:rsid w:val="005A6815"/>
    <w:rsid w:val="005A6E88"/>
    <w:rsid w:val="005A7558"/>
    <w:rsid w:val="005B2025"/>
    <w:rsid w:val="005B2077"/>
    <w:rsid w:val="005B2C3C"/>
    <w:rsid w:val="005B55C3"/>
    <w:rsid w:val="005B5D2B"/>
    <w:rsid w:val="005B6C55"/>
    <w:rsid w:val="005B7103"/>
    <w:rsid w:val="005C0257"/>
    <w:rsid w:val="005C4521"/>
    <w:rsid w:val="005C505B"/>
    <w:rsid w:val="005C6C30"/>
    <w:rsid w:val="005C7097"/>
    <w:rsid w:val="005D1757"/>
    <w:rsid w:val="005D1F72"/>
    <w:rsid w:val="005D2A0E"/>
    <w:rsid w:val="005E11D3"/>
    <w:rsid w:val="005F1633"/>
    <w:rsid w:val="005F1A66"/>
    <w:rsid w:val="005F1F77"/>
    <w:rsid w:val="005F4489"/>
    <w:rsid w:val="005F52D3"/>
    <w:rsid w:val="005F53B9"/>
    <w:rsid w:val="005F6509"/>
    <w:rsid w:val="005F6F6D"/>
    <w:rsid w:val="00602775"/>
    <w:rsid w:val="00602D8C"/>
    <w:rsid w:val="00603700"/>
    <w:rsid w:val="00617121"/>
    <w:rsid w:val="00621064"/>
    <w:rsid w:val="00621362"/>
    <w:rsid w:val="00624375"/>
    <w:rsid w:val="00624F4F"/>
    <w:rsid w:val="00627343"/>
    <w:rsid w:val="006320BC"/>
    <w:rsid w:val="006322AE"/>
    <w:rsid w:val="00633999"/>
    <w:rsid w:val="006351DF"/>
    <w:rsid w:val="00644F80"/>
    <w:rsid w:val="0065169F"/>
    <w:rsid w:val="006520CE"/>
    <w:rsid w:val="0065301F"/>
    <w:rsid w:val="00655545"/>
    <w:rsid w:val="00655722"/>
    <w:rsid w:val="0066129F"/>
    <w:rsid w:val="00662FD6"/>
    <w:rsid w:val="006735F1"/>
    <w:rsid w:val="00673D5E"/>
    <w:rsid w:val="006758A2"/>
    <w:rsid w:val="00675B48"/>
    <w:rsid w:val="00680A01"/>
    <w:rsid w:val="00686D79"/>
    <w:rsid w:val="00686E3D"/>
    <w:rsid w:val="0068789F"/>
    <w:rsid w:val="00690893"/>
    <w:rsid w:val="006928C3"/>
    <w:rsid w:val="006954F0"/>
    <w:rsid w:val="006A30DA"/>
    <w:rsid w:val="006A386A"/>
    <w:rsid w:val="006A3883"/>
    <w:rsid w:val="006A3FC4"/>
    <w:rsid w:val="006A5D47"/>
    <w:rsid w:val="006A621D"/>
    <w:rsid w:val="006B11BE"/>
    <w:rsid w:val="006B447F"/>
    <w:rsid w:val="006C3A74"/>
    <w:rsid w:val="006C7741"/>
    <w:rsid w:val="006D1087"/>
    <w:rsid w:val="006D11D5"/>
    <w:rsid w:val="006D1A5A"/>
    <w:rsid w:val="006D2624"/>
    <w:rsid w:val="006D6355"/>
    <w:rsid w:val="006D75ED"/>
    <w:rsid w:val="006E1375"/>
    <w:rsid w:val="006E3924"/>
    <w:rsid w:val="006E643B"/>
    <w:rsid w:val="006E7ABE"/>
    <w:rsid w:val="006F31EA"/>
    <w:rsid w:val="006F3F64"/>
    <w:rsid w:val="006F47E2"/>
    <w:rsid w:val="006F7C15"/>
    <w:rsid w:val="0070192E"/>
    <w:rsid w:val="007019A0"/>
    <w:rsid w:val="0070506C"/>
    <w:rsid w:val="00705E6D"/>
    <w:rsid w:val="007060BC"/>
    <w:rsid w:val="0070692B"/>
    <w:rsid w:val="00710416"/>
    <w:rsid w:val="007131D2"/>
    <w:rsid w:val="00720009"/>
    <w:rsid w:val="00721040"/>
    <w:rsid w:val="0072174C"/>
    <w:rsid w:val="00724660"/>
    <w:rsid w:val="007264A8"/>
    <w:rsid w:val="007269A9"/>
    <w:rsid w:val="00727AEE"/>
    <w:rsid w:val="00731BA7"/>
    <w:rsid w:val="00741737"/>
    <w:rsid w:val="00742D2C"/>
    <w:rsid w:val="00743E17"/>
    <w:rsid w:val="007453AB"/>
    <w:rsid w:val="00746CFE"/>
    <w:rsid w:val="007510EA"/>
    <w:rsid w:val="007607E0"/>
    <w:rsid w:val="0076105B"/>
    <w:rsid w:val="00761E73"/>
    <w:rsid w:val="00762A54"/>
    <w:rsid w:val="00765317"/>
    <w:rsid w:val="00766BFF"/>
    <w:rsid w:val="0077052F"/>
    <w:rsid w:val="00771C0D"/>
    <w:rsid w:val="00773A98"/>
    <w:rsid w:val="00775B71"/>
    <w:rsid w:val="00776FAF"/>
    <w:rsid w:val="0077703F"/>
    <w:rsid w:val="00781D96"/>
    <w:rsid w:val="007836DD"/>
    <w:rsid w:val="00785D0E"/>
    <w:rsid w:val="00786E5B"/>
    <w:rsid w:val="0078781F"/>
    <w:rsid w:val="007915BD"/>
    <w:rsid w:val="00797A3E"/>
    <w:rsid w:val="007A0D53"/>
    <w:rsid w:val="007A1530"/>
    <w:rsid w:val="007A1849"/>
    <w:rsid w:val="007A4ED1"/>
    <w:rsid w:val="007A6259"/>
    <w:rsid w:val="007A6B5B"/>
    <w:rsid w:val="007A7F36"/>
    <w:rsid w:val="007B0CB6"/>
    <w:rsid w:val="007B4182"/>
    <w:rsid w:val="007C075B"/>
    <w:rsid w:val="007C5235"/>
    <w:rsid w:val="007D0808"/>
    <w:rsid w:val="007D52F6"/>
    <w:rsid w:val="007E1CDF"/>
    <w:rsid w:val="007E1F22"/>
    <w:rsid w:val="007E22C6"/>
    <w:rsid w:val="007E3177"/>
    <w:rsid w:val="007E362F"/>
    <w:rsid w:val="007E39C7"/>
    <w:rsid w:val="007F03F6"/>
    <w:rsid w:val="00804FC5"/>
    <w:rsid w:val="00805A65"/>
    <w:rsid w:val="0080719E"/>
    <w:rsid w:val="008103B1"/>
    <w:rsid w:val="00823BB6"/>
    <w:rsid w:val="00824648"/>
    <w:rsid w:val="00824A34"/>
    <w:rsid w:val="00825007"/>
    <w:rsid w:val="00826582"/>
    <w:rsid w:val="00830A99"/>
    <w:rsid w:val="00840408"/>
    <w:rsid w:val="0084092F"/>
    <w:rsid w:val="0084154D"/>
    <w:rsid w:val="008427FA"/>
    <w:rsid w:val="00846B8A"/>
    <w:rsid w:val="008476F3"/>
    <w:rsid w:val="0085031D"/>
    <w:rsid w:val="008506DF"/>
    <w:rsid w:val="008532F4"/>
    <w:rsid w:val="00854545"/>
    <w:rsid w:val="008626C0"/>
    <w:rsid w:val="0086474B"/>
    <w:rsid w:val="00866D17"/>
    <w:rsid w:val="008674E6"/>
    <w:rsid w:val="00867673"/>
    <w:rsid w:val="00871ABB"/>
    <w:rsid w:val="0087407E"/>
    <w:rsid w:val="00874C6A"/>
    <w:rsid w:val="00876147"/>
    <w:rsid w:val="00876AF7"/>
    <w:rsid w:val="00890990"/>
    <w:rsid w:val="00890C71"/>
    <w:rsid w:val="0089265B"/>
    <w:rsid w:val="008A0450"/>
    <w:rsid w:val="008A2843"/>
    <w:rsid w:val="008A28F9"/>
    <w:rsid w:val="008A4F85"/>
    <w:rsid w:val="008A6A2B"/>
    <w:rsid w:val="008B11BE"/>
    <w:rsid w:val="008B1365"/>
    <w:rsid w:val="008B46A9"/>
    <w:rsid w:val="008B575C"/>
    <w:rsid w:val="008B6A8D"/>
    <w:rsid w:val="008B6E76"/>
    <w:rsid w:val="008B7CFD"/>
    <w:rsid w:val="008C17A5"/>
    <w:rsid w:val="008C59E1"/>
    <w:rsid w:val="008C67FC"/>
    <w:rsid w:val="008D1406"/>
    <w:rsid w:val="008D2D11"/>
    <w:rsid w:val="008D2EA3"/>
    <w:rsid w:val="008D7513"/>
    <w:rsid w:val="008E3FC3"/>
    <w:rsid w:val="008E43DA"/>
    <w:rsid w:val="008E7956"/>
    <w:rsid w:val="008F013A"/>
    <w:rsid w:val="008F274B"/>
    <w:rsid w:val="008F7DBF"/>
    <w:rsid w:val="00906CF4"/>
    <w:rsid w:val="00906FDB"/>
    <w:rsid w:val="009070A1"/>
    <w:rsid w:val="009106B5"/>
    <w:rsid w:val="00914E1D"/>
    <w:rsid w:val="00921442"/>
    <w:rsid w:val="009346C8"/>
    <w:rsid w:val="00934F59"/>
    <w:rsid w:val="00936BB9"/>
    <w:rsid w:val="00940938"/>
    <w:rsid w:val="009437A0"/>
    <w:rsid w:val="00945205"/>
    <w:rsid w:val="009478C2"/>
    <w:rsid w:val="009502CD"/>
    <w:rsid w:val="009503A5"/>
    <w:rsid w:val="00951565"/>
    <w:rsid w:val="00955E8A"/>
    <w:rsid w:val="009600C7"/>
    <w:rsid w:val="0096102B"/>
    <w:rsid w:val="00963E36"/>
    <w:rsid w:val="00966770"/>
    <w:rsid w:val="00971E91"/>
    <w:rsid w:val="00974F27"/>
    <w:rsid w:val="009778AA"/>
    <w:rsid w:val="0098109C"/>
    <w:rsid w:val="00981BC7"/>
    <w:rsid w:val="00983814"/>
    <w:rsid w:val="0098381B"/>
    <w:rsid w:val="0098481B"/>
    <w:rsid w:val="00985448"/>
    <w:rsid w:val="00990504"/>
    <w:rsid w:val="0099286D"/>
    <w:rsid w:val="00996AC5"/>
    <w:rsid w:val="00997AC2"/>
    <w:rsid w:val="009A1E67"/>
    <w:rsid w:val="009A546D"/>
    <w:rsid w:val="009B0F39"/>
    <w:rsid w:val="009B1275"/>
    <w:rsid w:val="009B1BE3"/>
    <w:rsid w:val="009B2377"/>
    <w:rsid w:val="009B273E"/>
    <w:rsid w:val="009B503C"/>
    <w:rsid w:val="009B7288"/>
    <w:rsid w:val="009C0987"/>
    <w:rsid w:val="009C1166"/>
    <w:rsid w:val="009C12DF"/>
    <w:rsid w:val="009C4D11"/>
    <w:rsid w:val="009D2852"/>
    <w:rsid w:val="009D288E"/>
    <w:rsid w:val="009D7801"/>
    <w:rsid w:val="009E0BD4"/>
    <w:rsid w:val="009E224F"/>
    <w:rsid w:val="009E4C9C"/>
    <w:rsid w:val="009E5B4F"/>
    <w:rsid w:val="009E6C89"/>
    <w:rsid w:val="009F03F1"/>
    <w:rsid w:val="009F2E27"/>
    <w:rsid w:val="009F357E"/>
    <w:rsid w:val="00A032D6"/>
    <w:rsid w:val="00A04CE5"/>
    <w:rsid w:val="00A130D5"/>
    <w:rsid w:val="00A2011B"/>
    <w:rsid w:val="00A22EEC"/>
    <w:rsid w:val="00A253A3"/>
    <w:rsid w:val="00A26622"/>
    <w:rsid w:val="00A33875"/>
    <w:rsid w:val="00A33D4A"/>
    <w:rsid w:val="00A37952"/>
    <w:rsid w:val="00A41691"/>
    <w:rsid w:val="00A4208C"/>
    <w:rsid w:val="00A428B9"/>
    <w:rsid w:val="00A45A58"/>
    <w:rsid w:val="00A503CB"/>
    <w:rsid w:val="00A51D74"/>
    <w:rsid w:val="00A614DD"/>
    <w:rsid w:val="00A623C3"/>
    <w:rsid w:val="00A63A52"/>
    <w:rsid w:val="00A64ED0"/>
    <w:rsid w:val="00A65555"/>
    <w:rsid w:val="00A6713E"/>
    <w:rsid w:val="00A67CE0"/>
    <w:rsid w:val="00A744F1"/>
    <w:rsid w:val="00A74642"/>
    <w:rsid w:val="00A779A0"/>
    <w:rsid w:val="00A77DDA"/>
    <w:rsid w:val="00A868F3"/>
    <w:rsid w:val="00A87213"/>
    <w:rsid w:val="00A91854"/>
    <w:rsid w:val="00A93A2E"/>
    <w:rsid w:val="00A94705"/>
    <w:rsid w:val="00A94FB7"/>
    <w:rsid w:val="00A95B72"/>
    <w:rsid w:val="00AA139A"/>
    <w:rsid w:val="00AA5CD2"/>
    <w:rsid w:val="00AA6C02"/>
    <w:rsid w:val="00AB06E1"/>
    <w:rsid w:val="00AB34E1"/>
    <w:rsid w:val="00AC215E"/>
    <w:rsid w:val="00AC2BBA"/>
    <w:rsid w:val="00AC3988"/>
    <w:rsid w:val="00AC4939"/>
    <w:rsid w:val="00AC4BB4"/>
    <w:rsid w:val="00AC4C4C"/>
    <w:rsid w:val="00AD22EA"/>
    <w:rsid w:val="00AD5308"/>
    <w:rsid w:val="00AD6EC5"/>
    <w:rsid w:val="00AE018E"/>
    <w:rsid w:val="00AE18B9"/>
    <w:rsid w:val="00AE4091"/>
    <w:rsid w:val="00AE5117"/>
    <w:rsid w:val="00AE639B"/>
    <w:rsid w:val="00AF2EC2"/>
    <w:rsid w:val="00AF6EBD"/>
    <w:rsid w:val="00B03496"/>
    <w:rsid w:val="00B10410"/>
    <w:rsid w:val="00B10ADB"/>
    <w:rsid w:val="00B114BA"/>
    <w:rsid w:val="00B229E0"/>
    <w:rsid w:val="00B23B9E"/>
    <w:rsid w:val="00B24A34"/>
    <w:rsid w:val="00B34F5D"/>
    <w:rsid w:val="00B4156B"/>
    <w:rsid w:val="00B45D33"/>
    <w:rsid w:val="00B50F3A"/>
    <w:rsid w:val="00B51A90"/>
    <w:rsid w:val="00B54511"/>
    <w:rsid w:val="00B62CAF"/>
    <w:rsid w:val="00B63CD4"/>
    <w:rsid w:val="00B64943"/>
    <w:rsid w:val="00B664CB"/>
    <w:rsid w:val="00B67FCA"/>
    <w:rsid w:val="00B7053B"/>
    <w:rsid w:val="00B7055F"/>
    <w:rsid w:val="00B70BC1"/>
    <w:rsid w:val="00B74645"/>
    <w:rsid w:val="00B75D01"/>
    <w:rsid w:val="00B7771E"/>
    <w:rsid w:val="00B81867"/>
    <w:rsid w:val="00B825AC"/>
    <w:rsid w:val="00B839BE"/>
    <w:rsid w:val="00B83BF1"/>
    <w:rsid w:val="00B86651"/>
    <w:rsid w:val="00B86766"/>
    <w:rsid w:val="00B90C9E"/>
    <w:rsid w:val="00B934AB"/>
    <w:rsid w:val="00BA1D14"/>
    <w:rsid w:val="00BA471F"/>
    <w:rsid w:val="00BA4D87"/>
    <w:rsid w:val="00BB14AE"/>
    <w:rsid w:val="00BB1962"/>
    <w:rsid w:val="00BC0077"/>
    <w:rsid w:val="00BC02B3"/>
    <w:rsid w:val="00BC495C"/>
    <w:rsid w:val="00BD15B4"/>
    <w:rsid w:val="00BD18A4"/>
    <w:rsid w:val="00BD5276"/>
    <w:rsid w:val="00BD6A5A"/>
    <w:rsid w:val="00BE0EE5"/>
    <w:rsid w:val="00BE2591"/>
    <w:rsid w:val="00BE76FE"/>
    <w:rsid w:val="00BE7C7A"/>
    <w:rsid w:val="00BF289F"/>
    <w:rsid w:val="00BF4773"/>
    <w:rsid w:val="00C045BA"/>
    <w:rsid w:val="00C07F83"/>
    <w:rsid w:val="00C10A6E"/>
    <w:rsid w:val="00C1184D"/>
    <w:rsid w:val="00C1246E"/>
    <w:rsid w:val="00C133AB"/>
    <w:rsid w:val="00C14539"/>
    <w:rsid w:val="00C23284"/>
    <w:rsid w:val="00C235EC"/>
    <w:rsid w:val="00C23C3D"/>
    <w:rsid w:val="00C269D2"/>
    <w:rsid w:val="00C31F7C"/>
    <w:rsid w:val="00C33164"/>
    <w:rsid w:val="00C33F9C"/>
    <w:rsid w:val="00C4723B"/>
    <w:rsid w:val="00C51099"/>
    <w:rsid w:val="00C514E0"/>
    <w:rsid w:val="00C52606"/>
    <w:rsid w:val="00C53A79"/>
    <w:rsid w:val="00C54050"/>
    <w:rsid w:val="00C56F30"/>
    <w:rsid w:val="00C5745A"/>
    <w:rsid w:val="00C607BA"/>
    <w:rsid w:val="00C613D5"/>
    <w:rsid w:val="00C62AC7"/>
    <w:rsid w:val="00C6418B"/>
    <w:rsid w:val="00C65E1B"/>
    <w:rsid w:val="00C737F7"/>
    <w:rsid w:val="00C74120"/>
    <w:rsid w:val="00C7609A"/>
    <w:rsid w:val="00C777C7"/>
    <w:rsid w:val="00C82343"/>
    <w:rsid w:val="00C82602"/>
    <w:rsid w:val="00C971F6"/>
    <w:rsid w:val="00CA36C7"/>
    <w:rsid w:val="00CA6485"/>
    <w:rsid w:val="00CB1314"/>
    <w:rsid w:val="00CB39F2"/>
    <w:rsid w:val="00CB419F"/>
    <w:rsid w:val="00CC13ED"/>
    <w:rsid w:val="00CD0B89"/>
    <w:rsid w:val="00CD12AF"/>
    <w:rsid w:val="00CD165E"/>
    <w:rsid w:val="00CD4884"/>
    <w:rsid w:val="00CD4B0E"/>
    <w:rsid w:val="00CD5264"/>
    <w:rsid w:val="00CE0355"/>
    <w:rsid w:val="00CE0D50"/>
    <w:rsid w:val="00CF12C0"/>
    <w:rsid w:val="00CF38FB"/>
    <w:rsid w:val="00CF3F8D"/>
    <w:rsid w:val="00CF59C0"/>
    <w:rsid w:val="00CF783D"/>
    <w:rsid w:val="00CF7FA0"/>
    <w:rsid w:val="00D00C13"/>
    <w:rsid w:val="00D01E2A"/>
    <w:rsid w:val="00D05149"/>
    <w:rsid w:val="00D0525D"/>
    <w:rsid w:val="00D0675B"/>
    <w:rsid w:val="00D06A9B"/>
    <w:rsid w:val="00D07DB0"/>
    <w:rsid w:val="00D14C01"/>
    <w:rsid w:val="00D20647"/>
    <w:rsid w:val="00D20893"/>
    <w:rsid w:val="00D20A03"/>
    <w:rsid w:val="00D20F4F"/>
    <w:rsid w:val="00D21266"/>
    <w:rsid w:val="00D21DEC"/>
    <w:rsid w:val="00D22C26"/>
    <w:rsid w:val="00D22E90"/>
    <w:rsid w:val="00D23774"/>
    <w:rsid w:val="00D25D26"/>
    <w:rsid w:val="00D3488B"/>
    <w:rsid w:val="00D36E9D"/>
    <w:rsid w:val="00D42A1E"/>
    <w:rsid w:val="00D42B40"/>
    <w:rsid w:val="00D466FB"/>
    <w:rsid w:val="00D516A7"/>
    <w:rsid w:val="00D54060"/>
    <w:rsid w:val="00D55028"/>
    <w:rsid w:val="00D57262"/>
    <w:rsid w:val="00D62F9A"/>
    <w:rsid w:val="00D64C1C"/>
    <w:rsid w:val="00D66645"/>
    <w:rsid w:val="00D716DA"/>
    <w:rsid w:val="00D76096"/>
    <w:rsid w:val="00D76E13"/>
    <w:rsid w:val="00D804B6"/>
    <w:rsid w:val="00D81775"/>
    <w:rsid w:val="00D841A8"/>
    <w:rsid w:val="00D861D7"/>
    <w:rsid w:val="00D92B58"/>
    <w:rsid w:val="00D94805"/>
    <w:rsid w:val="00DA372A"/>
    <w:rsid w:val="00DA717C"/>
    <w:rsid w:val="00DB0CCB"/>
    <w:rsid w:val="00DB21F6"/>
    <w:rsid w:val="00DB339C"/>
    <w:rsid w:val="00DB54EC"/>
    <w:rsid w:val="00DC1CD2"/>
    <w:rsid w:val="00DC1D73"/>
    <w:rsid w:val="00DC2D9E"/>
    <w:rsid w:val="00DC36C1"/>
    <w:rsid w:val="00DD2855"/>
    <w:rsid w:val="00DD452B"/>
    <w:rsid w:val="00DD4B6C"/>
    <w:rsid w:val="00DE0A5F"/>
    <w:rsid w:val="00DF1178"/>
    <w:rsid w:val="00DF3422"/>
    <w:rsid w:val="00DF383A"/>
    <w:rsid w:val="00DF41BF"/>
    <w:rsid w:val="00E00BA7"/>
    <w:rsid w:val="00E00CC8"/>
    <w:rsid w:val="00E01C1D"/>
    <w:rsid w:val="00E13D19"/>
    <w:rsid w:val="00E14DF5"/>
    <w:rsid w:val="00E15419"/>
    <w:rsid w:val="00E170E3"/>
    <w:rsid w:val="00E20C7B"/>
    <w:rsid w:val="00E304E0"/>
    <w:rsid w:val="00E3246B"/>
    <w:rsid w:val="00E365B1"/>
    <w:rsid w:val="00E37905"/>
    <w:rsid w:val="00E379F2"/>
    <w:rsid w:val="00E4028F"/>
    <w:rsid w:val="00E4109B"/>
    <w:rsid w:val="00E43DA7"/>
    <w:rsid w:val="00E45509"/>
    <w:rsid w:val="00E46187"/>
    <w:rsid w:val="00E47361"/>
    <w:rsid w:val="00E4751D"/>
    <w:rsid w:val="00E479CB"/>
    <w:rsid w:val="00E515C1"/>
    <w:rsid w:val="00E51D4C"/>
    <w:rsid w:val="00E546D5"/>
    <w:rsid w:val="00E5558A"/>
    <w:rsid w:val="00E57059"/>
    <w:rsid w:val="00E57FC4"/>
    <w:rsid w:val="00E603BA"/>
    <w:rsid w:val="00E611DA"/>
    <w:rsid w:val="00E615F8"/>
    <w:rsid w:val="00E73909"/>
    <w:rsid w:val="00E74612"/>
    <w:rsid w:val="00E81942"/>
    <w:rsid w:val="00E8508C"/>
    <w:rsid w:val="00E85895"/>
    <w:rsid w:val="00E97745"/>
    <w:rsid w:val="00EA4A87"/>
    <w:rsid w:val="00EB6F21"/>
    <w:rsid w:val="00EB7D00"/>
    <w:rsid w:val="00EC0DBC"/>
    <w:rsid w:val="00EC3C7F"/>
    <w:rsid w:val="00EC4D02"/>
    <w:rsid w:val="00ED19B6"/>
    <w:rsid w:val="00ED4E6B"/>
    <w:rsid w:val="00ED50D5"/>
    <w:rsid w:val="00ED7069"/>
    <w:rsid w:val="00EE0C2C"/>
    <w:rsid w:val="00EE514B"/>
    <w:rsid w:val="00EE5F00"/>
    <w:rsid w:val="00EF31F9"/>
    <w:rsid w:val="00F01FEC"/>
    <w:rsid w:val="00F04892"/>
    <w:rsid w:val="00F06218"/>
    <w:rsid w:val="00F062B3"/>
    <w:rsid w:val="00F06E90"/>
    <w:rsid w:val="00F103D9"/>
    <w:rsid w:val="00F11DD0"/>
    <w:rsid w:val="00F13094"/>
    <w:rsid w:val="00F20331"/>
    <w:rsid w:val="00F20E7A"/>
    <w:rsid w:val="00F25057"/>
    <w:rsid w:val="00F25247"/>
    <w:rsid w:val="00F26128"/>
    <w:rsid w:val="00F26299"/>
    <w:rsid w:val="00F26313"/>
    <w:rsid w:val="00F2720D"/>
    <w:rsid w:val="00F30A65"/>
    <w:rsid w:val="00F372B0"/>
    <w:rsid w:val="00F43D12"/>
    <w:rsid w:val="00F46313"/>
    <w:rsid w:val="00F478E5"/>
    <w:rsid w:val="00F51729"/>
    <w:rsid w:val="00F60FB0"/>
    <w:rsid w:val="00F6305A"/>
    <w:rsid w:val="00F70FC9"/>
    <w:rsid w:val="00F736C1"/>
    <w:rsid w:val="00F7373C"/>
    <w:rsid w:val="00F820AC"/>
    <w:rsid w:val="00F82218"/>
    <w:rsid w:val="00F87EBF"/>
    <w:rsid w:val="00F95333"/>
    <w:rsid w:val="00F96F53"/>
    <w:rsid w:val="00F97285"/>
    <w:rsid w:val="00FA07DC"/>
    <w:rsid w:val="00FA111F"/>
    <w:rsid w:val="00FA2FFB"/>
    <w:rsid w:val="00FA30A9"/>
    <w:rsid w:val="00FA5BF9"/>
    <w:rsid w:val="00FA6D6E"/>
    <w:rsid w:val="00FA71C0"/>
    <w:rsid w:val="00FB6E98"/>
    <w:rsid w:val="00FC0194"/>
    <w:rsid w:val="00FC1656"/>
    <w:rsid w:val="00FC4A39"/>
    <w:rsid w:val="00FD0D02"/>
    <w:rsid w:val="00FD0D7B"/>
    <w:rsid w:val="00FD6533"/>
    <w:rsid w:val="00FD7129"/>
    <w:rsid w:val="00FD7D99"/>
    <w:rsid w:val="00FE1169"/>
    <w:rsid w:val="00FE1BCD"/>
    <w:rsid w:val="00FE1FA6"/>
    <w:rsid w:val="00FE4B48"/>
    <w:rsid w:val="00FE7342"/>
    <w:rsid w:val="00FF0414"/>
    <w:rsid w:val="00FF508B"/>
    <w:rsid w:val="00FF56A7"/>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0E2E2C"/>
  <w15:docId w15:val="{FA4CCE03-FD88-472B-ACD5-9B7A704A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558"/>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Listavistosa-nfasis11">
    <w:name w:val="Lista vistosa - Énfasis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qFormat/>
    <w:rsid w:val="004E442D"/>
    <w:pPr>
      <w:ind w:left="720"/>
      <w:contextualSpacing/>
    </w:pPr>
  </w:style>
  <w:style w:type="character" w:styleId="FootnoteReference">
    <w:name w:val="footnote reference"/>
    <w:rsid w:val="005C4521"/>
    <w:rPr>
      <w:rFonts w:cs="Times New Roman"/>
      <w:vertAlign w:val="superscript"/>
      <w:lang w:val="es-ES" w:eastAsia="es-ES"/>
    </w:rPr>
  </w:style>
  <w:style w:type="character" w:styleId="Hyperlink">
    <w:name w:val="Hyperlink"/>
    <w:uiPriority w:val="99"/>
    <w:unhideWhenUsed/>
    <w:rsid w:val="005C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32157688">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60083817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743142166">
      <w:bodyDiv w:val="1"/>
      <w:marLeft w:val="0"/>
      <w:marRight w:val="0"/>
      <w:marTop w:val="0"/>
      <w:marBottom w:val="0"/>
      <w:divBdr>
        <w:top w:val="none" w:sz="0" w:space="0" w:color="auto"/>
        <w:left w:val="none" w:sz="0" w:space="0" w:color="auto"/>
        <w:bottom w:val="none" w:sz="0" w:space="0" w:color="auto"/>
        <w:right w:val="none" w:sz="0" w:space="0" w:color="auto"/>
      </w:divBdr>
    </w:div>
    <w:div w:id="1792436133">
      <w:bodyDiv w:val="1"/>
      <w:marLeft w:val="0"/>
      <w:marRight w:val="0"/>
      <w:marTop w:val="0"/>
      <w:marBottom w:val="0"/>
      <w:divBdr>
        <w:top w:val="none" w:sz="0" w:space="0" w:color="auto"/>
        <w:left w:val="none" w:sz="0" w:space="0" w:color="auto"/>
        <w:bottom w:val="none" w:sz="0" w:space="0" w:color="auto"/>
        <w:right w:val="none" w:sz="0" w:space="0" w:color="auto"/>
      </w:divBdr>
    </w:div>
    <w:div w:id="1813131210">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30ED-BE8C-4755-B540-F9A22FB6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1897</Words>
  <Characters>10818</Characters>
  <Application>Microsoft Office Word</Application>
  <DocSecurity>0</DocSecurity>
  <Lines>90</Lines>
  <Paragraphs>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OAS</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2014-04-28T11:53:00Z</cp:lastPrinted>
  <dcterms:created xsi:type="dcterms:W3CDTF">2021-11-06T01:56:00Z</dcterms:created>
  <dcterms:modified xsi:type="dcterms:W3CDTF">2021-11-06T01:56:00Z</dcterms:modified>
</cp:coreProperties>
</file>